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80" w:lineRule="exact"/>
        <w:jc w:val="center"/>
        <w:rPr>
          <w:rFonts w:ascii="方正小标宋简体" w:hAnsi="Times New Roman" w:eastAsia="方正小标宋简体" w:cs="方正小标宋简体"/>
          <w:color w:val="000000" w:themeColor="text1"/>
          <w:spacing w:val="8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color w:val="000000" w:themeColor="text1"/>
          <w:spacing w:val="8"/>
          <w:sz w:val="44"/>
          <w:szCs w:val="44"/>
        </w:rPr>
        <w:t>武汉市蔡甸区</w:t>
      </w:r>
      <w:r>
        <w:rPr>
          <w:rFonts w:hint="eastAsia" w:ascii="Times New Roman" w:hAnsi="Times New Roman" w:eastAsia="方正小标宋简体"/>
          <w:color w:val="000000" w:themeColor="text1"/>
          <w:spacing w:val="8"/>
          <w:sz w:val="44"/>
          <w:szCs w:val="44"/>
        </w:rPr>
        <w:t>2021</w:t>
      </w:r>
      <w:r>
        <w:rPr>
          <w:rFonts w:hint="eastAsia" w:ascii="方正小标宋简体" w:hAnsi="Times New Roman" w:eastAsia="方正小标宋简体" w:cs="方正小标宋简体"/>
          <w:color w:val="000000" w:themeColor="text1"/>
          <w:spacing w:val="8"/>
          <w:sz w:val="44"/>
          <w:szCs w:val="44"/>
        </w:rPr>
        <w:t>年国民经济</w:t>
      </w:r>
    </w:p>
    <w:p>
      <w:pPr>
        <w:shd w:val="clear" w:color="auto" w:fill="FFFFFF"/>
        <w:spacing w:line="580" w:lineRule="exact"/>
        <w:jc w:val="center"/>
        <w:rPr>
          <w:rFonts w:hint="eastAsia" w:ascii="方正小标宋简体" w:hAnsi="Times New Roman" w:eastAsia="方正小标宋简体" w:cs="方正小标宋简体"/>
          <w:color w:val="000000" w:themeColor="text1"/>
          <w:spacing w:val="8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color w:val="000000" w:themeColor="text1"/>
          <w:spacing w:val="8"/>
          <w:sz w:val="44"/>
          <w:szCs w:val="44"/>
        </w:rPr>
        <w:t>和社会发展统计公报</w:t>
      </w:r>
    </w:p>
    <w:p>
      <w:pPr>
        <w:shd w:val="clear" w:color="auto" w:fill="FFFFFF"/>
        <w:spacing w:line="580" w:lineRule="exact"/>
        <w:ind w:firstLine="643" w:firstLineChars="200"/>
        <w:jc w:val="center"/>
        <w:rPr>
          <w:rFonts w:ascii="方正小标宋简体" w:hAnsi="Times New Roman" w:eastAsia="方正小标宋简体" w:cs="宋体"/>
          <w:b/>
          <w:bCs/>
          <w:color w:val="000000" w:themeColor="text1"/>
          <w:kern w:val="0"/>
          <w:sz w:val="32"/>
          <w:szCs w:val="32"/>
          <w:lang w:val="zh-CN"/>
        </w:rPr>
      </w:pPr>
    </w:p>
    <w:p>
      <w:pPr>
        <w:widowControl/>
        <w:shd w:val="clear" w:color="auto" w:fill="FFFFFF"/>
        <w:spacing w:line="540" w:lineRule="exact"/>
        <w:jc w:val="left"/>
        <w:rPr>
          <w:rFonts w:ascii="Times New Roman" w:eastAsia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Times New Roman" w:eastAsia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ascii="Times New Roman" w:eastAsia="仿宋_GB2312"/>
          <w:color w:val="auto"/>
          <w:kern w:val="0"/>
          <w:sz w:val="32"/>
          <w:szCs w:val="32"/>
          <w:lang w:val="zh-CN"/>
        </w:rPr>
        <w:t>2021年全区上下在习近平新时代中国特色社会主义思想的指引下，深入贯彻党中央重大决策部署和省委、市委工作要求，勠力同心、砥砺奋进，经济发展重回主赛道，高质量发展迈出坚实步伐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zh-CN"/>
        </w:rPr>
        <w:t>，</w:t>
      </w:r>
      <w:r>
        <w:rPr>
          <w:rFonts w:ascii="Times New Roman" w:eastAsia="仿宋_GB2312"/>
          <w:color w:val="auto"/>
          <w:kern w:val="0"/>
          <w:sz w:val="32"/>
          <w:szCs w:val="32"/>
          <w:lang w:val="zh-CN"/>
        </w:rPr>
        <w:t>实现“十四五”良好开局。</w:t>
      </w:r>
    </w:p>
    <w:p>
      <w:pPr>
        <w:widowControl/>
        <w:shd w:val="clear" w:color="auto" w:fill="FFFFFF"/>
        <w:spacing w:line="540" w:lineRule="exact"/>
        <w:jc w:val="center"/>
        <w:rPr>
          <w:rFonts w:ascii="Times New Roman" w:hAnsi="Times New Roman" w:eastAsia="黑体" w:cs="宋体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color w:val="auto"/>
          <w:kern w:val="0"/>
          <w:sz w:val="32"/>
          <w:szCs w:val="32"/>
          <w:lang w:val="zh-CN"/>
        </w:rPr>
        <w:t>一、综合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eastAsia="仿宋_GB2312"/>
          <w:color w:val="auto"/>
          <w:kern w:val="0"/>
          <w:sz w:val="32"/>
          <w:szCs w:val="32"/>
          <w:lang w:val="zh-CN"/>
        </w:rPr>
        <w:t>初步核算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lang w:val="zh-CN"/>
        </w:rPr>
        <w:t>,</w:t>
      </w:r>
      <w:r>
        <w:rPr>
          <w:rFonts w:ascii="Times New Roman" w:eastAsia="仿宋_GB2312"/>
          <w:color w:val="auto"/>
          <w:kern w:val="0"/>
          <w:sz w:val="32"/>
          <w:szCs w:val="32"/>
          <w:lang w:val="zh-CN"/>
        </w:rPr>
        <w:t>全年</w:t>
      </w:r>
      <w:r>
        <w:rPr>
          <w:rFonts w:ascii="Times New Roman" w:eastAsia="仿宋_GB2312"/>
          <w:color w:val="auto"/>
          <w:kern w:val="0"/>
          <w:sz w:val="32"/>
          <w:szCs w:val="32"/>
        </w:rPr>
        <w:t>实现</w:t>
      </w:r>
      <w:r>
        <w:rPr>
          <w:rFonts w:ascii="Times New Roman" w:eastAsia="仿宋_GB2312"/>
          <w:color w:val="auto"/>
          <w:kern w:val="0"/>
          <w:sz w:val="32"/>
          <w:szCs w:val="32"/>
          <w:lang w:val="zh-CN"/>
        </w:rPr>
        <w:t>地区生产总值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405.29</w:t>
      </w:r>
      <w:r>
        <w:rPr>
          <w:rFonts w:ascii="Times New Roman" w:eastAsia="仿宋_GB2312"/>
          <w:color w:val="auto"/>
          <w:kern w:val="0"/>
          <w:sz w:val="32"/>
          <w:szCs w:val="32"/>
          <w:lang w:val="zh-CN"/>
        </w:rPr>
        <w:t>亿元，</w:t>
      </w:r>
      <w:r>
        <w:rPr>
          <w:rFonts w:hint="eastAsia" w:ascii="Times New Roman" w:eastAsia="仿宋_GB2312"/>
          <w:color w:val="auto"/>
          <w:kern w:val="0"/>
          <w:sz w:val="32"/>
          <w:szCs w:val="32"/>
          <w:lang w:val="zh-CN"/>
        </w:rPr>
        <w:t>比上年增长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8.5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lang w:val="zh-CN"/>
        </w:rPr>
        <w:t>%</w:t>
      </w:r>
      <w:r>
        <w:rPr>
          <w:rFonts w:ascii="Times New Roman" w:eastAsia="仿宋_GB2312"/>
          <w:color w:val="auto"/>
          <w:kern w:val="0"/>
          <w:sz w:val="32"/>
          <w:szCs w:val="32"/>
          <w:lang w:val="zh-CN"/>
        </w:rPr>
        <w:t>。其中，第一产业增加值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55.32</w:t>
      </w:r>
      <w:r>
        <w:rPr>
          <w:rFonts w:ascii="Times New Roman" w:eastAsia="仿宋_GB2312"/>
          <w:color w:val="auto"/>
          <w:kern w:val="0"/>
          <w:sz w:val="32"/>
          <w:szCs w:val="32"/>
          <w:lang w:val="zh-CN"/>
        </w:rPr>
        <w:t>亿元，增长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7.9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lang w:val="zh-CN"/>
        </w:rPr>
        <w:t>%</w:t>
      </w:r>
      <w:r>
        <w:rPr>
          <w:rFonts w:ascii="Times New Roman" w:eastAsia="仿宋_GB2312"/>
          <w:color w:val="auto"/>
          <w:kern w:val="0"/>
          <w:sz w:val="32"/>
          <w:szCs w:val="32"/>
          <w:lang w:val="zh-CN"/>
        </w:rPr>
        <w:t>；第</w:t>
      </w:r>
      <w:r>
        <w:rPr>
          <w:rFonts w:ascii="Times New Roman" w:eastAsia="仿宋_GB2312"/>
          <w:color w:val="auto"/>
          <w:kern w:val="0"/>
          <w:sz w:val="32"/>
          <w:szCs w:val="32"/>
        </w:rPr>
        <w:t>二产业增加值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159.32</w:t>
      </w:r>
      <w:r>
        <w:rPr>
          <w:rFonts w:ascii="Times New Roman" w:eastAsia="仿宋_GB2312"/>
          <w:color w:val="auto"/>
          <w:kern w:val="0"/>
          <w:sz w:val="32"/>
          <w:szCs w:val="32"/>
          <w:lang w:val="zh-CN"/>
        </w:rPr>
        <w:t>亿元，增长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3.4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lang w:val="zh-CN"/>
        </w:rPr>
        <w:t>%</w:t>
      </w:r>
      <w:r>
        <w:rPr>
          <w:rFonts w:ascii="Times New Roman" w:eastAsia="仿宋_GB2312"/>
          <w:color w:val="auto"/>
          <w:kern w:val="0"/>
          <w:sz w:val="32"/>
          <w:szCs w:val="32"/>
          <w:lang w:val="zh-CN"/>
        </w:rPr>
        <w:t>；第三产业增加值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190.64</w:t>
      </w:r>
      <w:r>
        <w:rPr>
          <w:rFonts w:ascii="Times New Roman" w:eastAsia="仿宋_GB2312"/>
          <w:color w:val="auto"/>
          <w:kern w:val="0"/>
          <w:sz w:val="32"/>
          <w:szCs w:val="32"/>
          <w:lang w:val="zh-CN"/>
        </w:rPr>
        <w:t>亿元，增长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13.2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lang w:val="zh-CN"/>
        </w:rPr>
        <w:t>%</w:t>
      </w:r>
      <w:r>
        <w:rPr>
          <w:rFonts w:ascii="Times New Roman" w:eastAsia="仿宋_GB2312"/>
          <w:color w:val="auto"/>
          <w:kern w:val="0"/>
          <w:sz w:val="32"/>
          <w:szCs w:val="32"/>
          <w:lang w:val="zh-CN"/>
        </w:rPr>
        <w:t>。一、二、三产业比重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13.6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lang w:val="zh-CN"/>
        </w:rPr>
        <w:t>: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39.3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lang w:val="zh-CN"/>
        </w:rPr>
        <w:t>: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47.1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widowControl/>
        <w:shd w:val="clear" w:color="auto" w:fill="FFFFFF"/>
        <w:spacing w:line="240" w:lineRule="auto"/>
        <w:ind w:firstLine="592"/>
        <w:rPr>
          <w:rFonts w:hint="eastAsia" w:ascii="楷体_GB2312" w:hAnsi="仿宋" w:eastAsia="楷体_GB2312" w:cs="宋体"/>
          <w:color w:val="000000" w:themeColor="text1"/>
          <w:sz w:val="32"/>
          <w:szCs w:val="32"/>
          <w:lang w:eastAsia="zh-CN"/>
        </w:rPr>
      </w:pPr>
      <w:r>
        <w:rPr>
          <w:rFonts w:hint="eastAsia" w:ascii="楷体_GB2312" w:hAnsi="仿宋" w:eastAsia="楷体_GB2312" w:cs="宋体"/>
          <w:color w:val="000000" w:themeColor="text1"/>
          <w:sz w:val="32"/>
          <w:szCs w:val="32"/>
          <w:lang w:eastAsia="zh-CN"/>
        </w:rPr>
        <w:pict>
          <v:shape id="_x0000_i1025" o:spt="75" alt="1生产总值" type="#_x0000_t75" style="height:207.85pt;width:391.2pt;" filled="f" o:preferrelative="t" stroked="f" coordsize="21600,21600">
            <v:path/>
            <v:fill on="f" focussize="0,0"/>
            <v:stroke on="f"/>
            <v:imagedata r:id="rId7" o:title="1生产总值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240" w:lineRule="auto"/>
        <w:ind w:firstLine="592"/>
        <w:rPr>
          <w:rFonts w:hint="eastAsia" w:ascii="楷体_GB2312" w:hAnsi="仿宋" w:eastAsia="楷体_GB2312" w:cs="宋体"/>
          <w:color w:val="000000" w:themeColor="text1"/>
          <w:sz w:val="32"/>
          <w:szCs w:val="32"/>
          <w:lang w:eastAsia="zh-CN"/>
        </w:rPr>
      </w:pP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仿宋" w:eastAsia="楷体_GB2312" w:cs="宋体"/>
          <w:color w:val="auto"/>
          <w:sz w:val="32"/>
          <w:szCs w:val="32"/>
        </w:rPr>
        <w:t>人口：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年末全区常住人口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61.46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万人，比上年末增加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6.02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万人，其中城镇常住人口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30.78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万人，占总人口比重（常住人口城镇化率）为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50.08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比上年末提高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1.35个百分点。年末全区户籍人口47.28万人。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全年共出生3137人，出生率6.14‰；死亡2620人，死亡率4.96‰；自然增长517人，自然增长率1.18‰；符合政策生育率99.41%，出生人口性别比109.19。</w:t>
      </w:r>
    </w:p>
    <w:p>
      <w:pPr>
        <w:widowControl/>
        <w:shd w:val="clear" w:color="auto" w:fill="FFFFFF"/>
        <w:spacing w:line="560" w:lineRule="atLeast"/>
        <w:ind w:firstLine="592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就业：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全年城镇净增就业岗位 12012个，安排下岗失业人员再就业3241人。再就业人员培训3521人。登记失业率1.63%，比上年末下降1.51个百分点。</w:t>
      </w:r>
    </w:p>
    <w:p>
      <w:pPr>
        <w:widowControl/>
        <w:shd w:val="clear" w:color="auto" w:fill="FFFFFF"/>
        <w:spacing w:line="560" w:lineRule="exact"/>
        <w:ind w:firstLine="592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市场主体：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年末全区市场主体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7.78万户，比上年增长16.3％，其中，企业1.99万户，增长22.8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；个体工商户5.73万户，增长13.1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。全年新登记市场主体17441户，增长28.3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，其中，新登记企业4671户，增长42.2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；新登记个体工商户12674户，增长22.9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黑体" w:cs="宋体"/>
          <w:color w:val="auto"/>
          <w:kern w:val="0"/>
          <w:sz w:val="32"/>
          <w:szCs w:val="32"/>
          <w:lang w:val="zh-CN"/>
        </w:rPr>
        <w:t>二、农业</w:t>
      </w:r>
    </w:p>
    <w:p>
      <w:pPr>
        <w:spacing w:line="580" w:lineRule="exact"/>
        <w:ind w:firstLine="640"/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auto"/>
          <w:kern w:val="0"/>
          <w:sz w:val="32"/>
          <w:szCs w:val="32"/>
        </w:rPr>
        <w:t>全年农林牧渔及服务业增加值57.67亿元，比上年增长9.0%。主要农产品中粮食产量11.83万吨，增长3.0%；蔬菜产量102.19万吨，增长12.6%；生猪出栏14.92万头，增长22.6%；家禽出笼 162.12万只，下降48.2%；禽蛋产量0.65万吨，增长1.7%；水产品总产量6.84万吨，增长4.8%。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auto"/>
          <w:kern w:val="0"/>
          <w:sz w:val="32"/>
          <w:szCs w:val="32"/>
        </w:rPr>
        <w:t>新增“三品一标”认证产品18个、新型农业经营主体16家，创建市级农民专业合作社示范社5家。新建成高标准农田2.28万亩。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新增土地流转面积6096.89亩。农业灌溉水有效利用系数0.6。农业机械总动力39.65万千瓦</w:t>
      </w:r>
      <w:r>
        <w:rPr>
          <w:rFonts w:hint="eastAsia" w:ascii="Times New Roman" w:hAnsi="Times New Roman" w:eastAsia="仿宋_GB2312"/>
          <w:snapToGrid w:val="0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农业机械化综合水平达85.31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黑体" w:cs="宋体"/>
          <w:color w:val="auto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auto"/>
          <w:kern w:val="0"/>
          <w:sz w:val="32"/>
          <w:szCs w:val="32"/>
          <w:lang w:val="zh-CN"/>
        </w:rPr>
        <w:t>三、工业和建筑业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工业：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全年工业增加值125.54亿元，比上年</w:t>
      </w:r>
      <w:r>
        <w:rPr>
          <w:rFonts w:hint="eastAsia" w:ascii="Times New Roman" w:hAnsi="Times New Roman" w:eastAsia="仿宋_GB2312"/>
          <w:snapToGrid w:val="0"/>
          <w:color w:val="auto"/>
          <w:kern w:val="0"/>
          <w:sz w:val="32"/>
          <w:szCs w:val="32"/>
        </w:rPr>
        <w:t>增长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2.6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zh-CN"/>
        </w:rPr>
        <w:t>年末规模以上工业企业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357户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实现产值703.15亿元，</w:t>
      </w:r>
      <w:r>
        <w:rPr>
          <w:rFonts w:hint="eastAsia" w:ascii="Times New Roman" w:hAnsi="Times New Roman" w:eastAsia="仿宋_GB2312"/>
          <w:snapToGrid w:val="0"/>
          <w:color w:val="auto"/>
          <w:kern w:val="0"/>
          <w:sz w:val="32"/>
          <w:szCs w:val="32"/>
        </w:rPr>
        <w:t>增长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0.8%；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zh-CN"/>
        </w:rPr>
        <w:t>全年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规模以上工业增加值下降0.9%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zh-CN"/>
        </w:rPr>
        <w:t>规模以上工业企业营业收入595.91亿元，下降2.8%；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全区规模以上工业企业产品销售率为90.6%。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cs="宋体"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表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：</w:t>
      </w:r>
      <w:r>
        <w:rPr>
          <w:rFonts w:ascii="Times New Roman" w:hAnsi="Times New Roman" w:cs="宋体"/>
          <w:color w:val="000000" w:themeColor="text1"/>
          <w:kern w:val="0"/>
          <w:sz w:val="28"/>
          <w:szCs w:val="28"/>
        </w:rPr>
        <w:t>20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21年规模以上工业</w:t>
      </w:r>
      <w:r>
        <w:rPr>
          <w:rFonts w:ascii="Times New Roman" w:hAnsi="Times New Roman" w:cs="宋体"/>
          <w:color w:val="000000" w:themeColor="text1"/>
          <w:kern w:val="0"/>
          <w:sz w:val="28"/>
          <w:szCs w:val="28"/>
        </w:rPr>
        <w:t>10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大行业总产值及其增长速度</w:t>
      </w:r>
    </w:p>
    <w:tbl>
      <w:tblPr>
        <w:tblStyle w:val="5"/>
        <w:tblW w:w="9000" w:type="dxa"/>
        <w:jc w:val="center"/>
        <w:tblBorders>
          <w:top w:val="single" w:color="auto" w:sz="2" w:space="0"/>
          <w:left w:val="none" w:color="auto" w:sz="0" w:space="0"/>
          <w:bottom w:val="single" w:color="auto" w:sz="2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1983"/>
        <w:gridCol w:w="2382"/>
      </w:tblGrid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46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指标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21年（亿元）</w:t>
            </w:r>
          </w:p>
        </w:tc>
        <w:tc>
          <w:tcPr>
            <w:tcW w:w="2382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60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比上年增长（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%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4635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食品、饮料制造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19.35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6.1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463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纺织服装业</w:t>
            </w:r>
          </w:p>
        </w:tc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9.32</w:t>
            </w:r>
          </w:p>
        </w:tc>
        <w:tc>
          <w:tcPr>
            <w:tcW w:w="2382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</w:rPr>
              <w:t>-51.1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463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造纸和纸制品业</w:t>
            </w:r>
          </w:p>
        </w:tc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</w:rPr>
              <w:t>9.53</w:t>
            </w:r>
          </w:p>
        </w:tc>
        <w:tc>
          <w:tcPr>
            <w:tcW w:w="2382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-74.0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463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化学原料和化学制品制造业</w:t>
            </w:r>
          </w:p>
        </w:tc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5.21</w:t>
            </w:r>
          </w:p>
        </w:tc>
        <w:tc>
          <w:tcPr>
            <w:tcW w:w="2382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60.3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463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橡胶和塑料制品业</w:t>
            </w:r>
          </w:p>
        </w:tc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38.89</w:t>
            </w:r>
          </w:p>
        </w:tc>
        <w:tc>
          <w:tcPr>
            <w:tcW w:w="2382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-26.2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463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通用设备制造业</w:t>
            </w:r>
          </w:p>
        </w:tc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28.24</w:t>
            </w:r>
          </w:p>
        </w:tc>
        <w:tc>
          <w:tcPr>
            <w:tcW w:w="2382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-34.2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463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专用设备制造业</w:t>
            </w:r>
          </w:p>
        </w:tc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9.55</w:t>
            </w:r>
          </w:p>
        </w:tc>
        <w:tc>
          <w:tcPr>
            <w:tcW w:w="2382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20.2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463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汽车制造业</w:t>
            </w:r>
          </w:p>
        </w:tc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143.25</w:t>
            </w:r>
          </w:p>
        </w:tc>
        <w:tc>
          <w:tcPr>
            <w:tcW w:w="2382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18.0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463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电气机械和器材制造业</w:t>
            </w:r>
          </w:p>
        </w:tc>
        <w:tc>
          <w:tcPr>
            <w:tcW w:w="19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76.84</w:t>
            </w:r>
          </w:p>
        </w:tc>
        <w:tc>
          <w:tcPr>
            <w:tcW w:w="2382" w:type="dxa"/>
            <w:tcBorders>
              <w:top w:val="nil"/>
              <w:left w:val="single" w:color="auto" w:sz="4" w:space="0"/>
              <w:bottom w:val="nil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-1.9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463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ind w:firstLine="480" w:firstLineChars="200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计算机、通信和其他电子设备制造业</w:t>
            </w:r>
          </w:p>
        </w:tc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147.08</w:t>
            </w:r>
          </w:p>
        </w:tc>
        <w:tc>
          <w:tcPr>
            <w:tcW w:w="2382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0" w:type="dxa"/>
              <w:right w:w="8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2.1</w:t>
            </w:r>
          </w:p>
        </w:tc>
      </w:tr>
    </w:tbl>
    <w:p>
      <w:pPr>
        <w:shd w:val="clear" w:color="auto" w:fill="FFFFFF"/>
        <w:spacing w:line="600" w:lineRule="exact"/>
        <w:ind w:firstLine="640" w:firstLineChars="200"/>
        <w:rPr>
          <w:rFonts w:hint="eastAsia" w:ascii="楷体_GB2312" w:hAnsi="Times New Roman" w:eastAsia="楷体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建筑业：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全年建筑业增加值33.78亿元，比上年增长6.2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。年末具有建筑业资质的建筑企业54家，完成建筑业总产值179.06亿元，房屋建筑施工面积551.97万平方米，房屋竣工面积306.88万平方米。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黑体" w:cs="宋体"/>
          <w:color w:val="auto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auto"/>
          <w:kern w:val="0"/>
          <w:sz w:val="32"/>
          <w:szCs w:val="32"/>
          <w:lang w:val="zh-CN"/>
        </w:rPr>
        <w:t>四、固定资产投资和房地产业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固定资产投资：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全年固定资产投资比上年增长16.2%，按产业分，第一产业投资增长253.2%；第二产业投资增长16.9%，其中工业投资增长16.9%；第三产业投资增长15.1%，其中基础设施下降33.4%。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房地产开发：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全年完成房地产开发投资180.68亿元，比上年增长36.0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。房屋施工面积908.54万平方米。销售商品房140.48万平方米，增长3.7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，实现商品房销售额120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.04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"/>
        <w:textAlignment w:val="auto"/>
        <w:rPr>
          <w:rFonts w:ascii="Times New Roman" w:hAnsi="Times New Roman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 w:cs="宋体"/>
          <w:color w:val="auto"/>
          <w:sz w:val="32"/>
          <w:szCs w:val="32"/>
        </w:rPr>
        <w:t>保障性住房建设：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城市棚户区改造1500套，在建1500套，总投资43.74亿元；筹集大学生租赁房200套。旧城改造90户，总投资0.78亿元。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auto"/>
          <w:sz w:val="32"/>
          <w:szCs w:val="32"/>
        </w:rPr>
        <w:t>五、交通运输、邮电通信和旅游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交通：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年末全区拥有公路里程2571.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95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公里，比上年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0.2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，其中：等级公路2571.9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公里。货运周转量90990</w:t>
      </w:r>
      <w:r>
        <w:rPr>
          <w:rFonts w:hint="eastAsia" w:ascii="仿宋_GB2312" w:eastAsia="仿宋_GB2312"/>
          <w:color w:val="auto"/>
          <w:sz w:val="28"/>
          <w:szCs w:val="28"/>
        </w:rPr>
        <w:t>万吨公里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0.4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，其中汽车货运周转量69930</w:t>
      </w:r>
      <w:r>
        <w:rPr>
          <w:rFonts w:hint="eastAsia" w:ascii="仿宋_GB2312" w:eastAsia="仿宋_GB2312"/>
          <w:color w:val="auto"/>
          <w:sz w:val="28"/>
          <w:szCs w:val="28"/>
        </w:rPr>
        <w:t>万吨公里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，增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长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11.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。客运周转量3.55万人公里，增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长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12.3%。农村通公路行政村达100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。年末</w:t>
      </w:r>
      <w:r>
        <w:rPr>
          <w:rFonts w:hint="eastAsia" w:ascii="Times New Roman" w:hAnsi="Times New Roman" w:eastAsia="仿宋_GB2312"/>
          <w:snapToGrid w:val="0"/>
          <w:color w:val="auto"/>
          <w:kern w:val="0"/>
          <w:sz w:val="32"/>
          <w:szCs w:val="32"/>
        </w:rPr>
        <w:t>全区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城关公交线路9条，营运公共汽车74辆；城市公交线路46条，当年新开通2条，优化调整28条，营运公交车369辆。年末实有出租汽车数100辆。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邮电通信：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全年实现邮政业务总收入为9076.81万元，增长29.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%。电信业务总量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48105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万元，年末固定电话用户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32627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户，其中：农村电话用户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10407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户。年末移动电话用户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526650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宋体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  <w:shd w:val="clear" w:color="auto" w:fill="FFFFFF"/>
        </w:rPr>
        <w:t>旅游：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年末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A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级旅游景区4个，星级以上宾馆2家。全年接待国内游客1002.33万人次，比上年增长66.0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，国内旅游收入33.08亿元，增长61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.2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黑体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 w:themeColor="text1"/>
          <w:sz w:val="32"/>
          <w:szCs w:val="32"/>
        </w:rPr>
        <w:t>六、国内贸易和对外经济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市场消费：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全年社会消费品零售总额达到163.62亿元，比上年增长18.3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。其中：限上批发零售业完成109.92亿元，增长39.3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，限上住宿餐饮业完成1.91亿元，增长17.6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>
      <w:pPr>
        <w:widowControl/>
        <w:shd w:val="clear" w:color="auto" w:fill="FFFFFF"/>
        <w:spacing w:line="580" w:lineRule="exact"/>
        <w:jc w:val="center"/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ascii="Times New Roman" w:hAnsi="Times New Roman" w:cs="宋体"/>
          <w:color w:val="000000" w:themeColor="text1"/>
          <w:kern w:val="0"/>
          <w:sz w:val="24"/>
        </w:rPr>
      </w:pP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表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：</w:t>
      </w:r>
      <w:r>
        <w:rPr>
          <w:rFonts w:ascii="Times New Roman" w:hAnsi="Times New Roman" w:cs="宋体"/>
          <w:color w:val="000000" w:themeColor="text1"/>
          <w:kern w:val="0"/>
          <w:sz w:val="28"/>
          <w:szCs w:val="28"/>
        </w:rPr>
        <w:t>20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21年社会消费品零售总额及其增长速度</w:t>
      </w:r>
    </w:p>
    <w:p>
      <w:pPr>
        <w:widowControl/>
        <w:shd w:val="clear" w:color="auto" w:fill="FFFFFF"/>
        <w:spacing w:line="200" w:lineRule="exact"/>
        <w:jc w:val="center"/>
        <w:rPr>
          <w:rFonts w:ascii="Times New Roman" w:hAnsi="Times New Roman" w:cs="宋体"/>
          <w:color w:val="000000" w:themeColor="text1"/>
          <w:kern w:val="0"/>
          <w:sz w:val="24"/>
        </w:rPr>
      </w:pPr>
    </w:p>
    <w:tbl>
      <w:tblPr>
        <w:tblStyle w:val="5"/>
        <w:tblW w:w="8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5"/>
        <w:gridCol w:w="2009"/>
        <w:gridCol w:w="2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指标</w:t>
            </w:r>
          </w:p>
        </w:tc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21年（亿元）</w:t>
            </w:r>
          </w:p>
        </w:tc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比上年增长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44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ind w:firstLine="480" w:firstLineChars="20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社会消费品零售总额</w:t>
            </w:r>
          </w:p>
        </w:tc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163.62</w:t>
            </w:r>
          </w:p>
        </w:tc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18.3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445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#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限额以上企业零售额</w:t>
            </w:r>
          </w:p>
        </w:tc>
        <w:tc>
          <w:tcPr>
            <w:tcW w:w="2009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111.83</w:t>
            </w:r>
          </w:p>
        </w:tc>
        <w:tc>
          <w:tcPr>
            <w:tcW w:w="2544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38.9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4445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按行业分：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"https://www.kujiale.com/pro/3FO4IG4IUXQ7" \t "_blank"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009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ind w:firstLine="480" w:firstLineChars="20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ind w:firstLine="480" w:firstLineChars="20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445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批发零售业</w:t>
            </w:r>
          </w:p>
        </w:tc>
        <w:tc>
          <w:tcPr>
            <w:tcW w:w="2009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109.92</w:t>
            </w:r>
          </w:p>
        </w:tc>
        <w:tc>
          <w:tcPr>
            <w:tcW w:w="2544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39.3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445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住宿餐饮业</w:t>
            </w:r>
          </w:p>
        </w:tc>
        <w:tc>
          <w:tcPr>
            <w:tcW w:w="2009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1.91</w:t>
            </w:r>
          </w:p>
        </w:tc>
        <w:tc>
          <w:tcPr>
            <w:tcW w:w="2544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17.6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445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ind w:firstLine="480" w:firstLineChars="20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按经营地分：</w:t>
            </w:r>
          </w:p>
        </w:tc>
        <w:tc>
          <w:tcPr>
            <w:tcW w:w="2009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ind w:firstLine="480" w:firstLineChars="20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ind w:firstLine="480" w:firstLineChars="200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445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城镇</w:t>
            </w:r>
          </w:p>
        </w:tc>
        <w:tc>
          <w:tcPr>
            <w:tcW w:w="2009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110.03</w:t>
            </w:r>
          </w:p>
        </w:tc>
        <w:tc>
          <w:tcPr>
            <w:tcW w:w="2544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40.7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乡村</w:t>
            </w:r>
          </w:p>
        </w:tc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1.80</w:t>
            </w:r>
          </w:p>
        </w:tc>
        <w:tc>
          <w:tcPr>
            <w:tcW w:w="2544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-21.4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pict>
          <v:shape id="_x0000_i1026" o:spt="75" alt="2社零额" type="#_x0000_t75" style="height:225.05pt;width:374.45pt;" filled="f" o:preferrelative="t" stroked="f" coordsize="21600,21600">
            <v:path/>
            <v:fill on="f" focussize="0,0"/>
            <v:stroke on="f"/>
            <v:imagedata r:id="rId8" o:title="2社零额"/>
            <o:lock v:ext="edit" aspectratio="t"/>
            <w10:wrap type="none"/>
            <w10:anchorlock/>
          </v:shape>
        </w:pict>
      </w:r>
    </w:p>
    <w:p>
      <w:pPr>
        <w:shd w:val="clear" w:color="auto" w:fill="FFFFFF"/>
        <w:spacing w:line="58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对外经济：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全年进出口66.74亿元，比上年增长34.7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。出口总额91976万美元，比上年增长45.0%。招商引资实际到位资金591.70亿元，增长1.4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。实际利用外资80758万美元，增长16.3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；实际利用内资538.40亿元，增长0.4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>
      <w:pPr>
        <w:shd w:val="clear" w:color="auto" w:fill="FFFFFF"/>
        <w:spacing w:line="58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shd w:val="clear" w:color="auto" w:fill="FFFFFF"/>
        <w:spacing w:line="240" w:lineRule="auto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pict>
          <v:shape id="_x0000_i1027" o:spt="75" alt="3外资出口" type="#_x0000_t75" style="height:236.1pt;width:408.05pt;" filled="f" o:preferrelative="t" stroked="f" coordsize="21600,21600">
            <v:path/>
            <v:fill on="f" focussize="0,0"/>
            <v:stroke on="f"/>
            <v:imagedata r:id="rId9" o:title="3外资出口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580" w:lineRule="exact"/>
        <w:jc w:val="center"/>
        <w:rPr>
          <w:rFonts w:ascii="Times New Roman" w:hAnsi="Times New Roman" w:eastAsia="黑体" w:cs="宋体"/>
          <w:color w:val="auto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auto"/>
          <w:kern w:val="0"/>
          <w:sz w:val="32"/>
          <w:szCs w:val="32"/>
          <w:lang w:val="zh-CN"/>
        </w:rPr>
        <w:t>七、财政和金融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财税：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全年完成一般公共预算总收入57.40亿元，比上年增长12.6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，其中地方一般公共财政预算收入39.78亿元，增长16.4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。在地方一般公共预算收入中，税收收入32.02亿元，增长17.4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，税收收入占地方一般公共预算收入比重80.5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。全年公共财政支出82.35亿元，下降10.5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spacing w:line="240" w:lineRule="auto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pict>
          <v:shape id="_x0000_i1028" o:spt="75" alt="4财政收入" type="#_x0000_t75" style="height:216.95pt;width:360.95pt;" filled="f" o:preferrelative="t" stroked="f" coordsize="21600,21600">
            <v:path/>
            <v:fill on="f" focussize="0,0"/>
            <v:stroke on="f"/>
            <v:imagedata r:id="rId10" o:title="4财政收入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580" w:lineRule="exact"/>
        <w:jc w:val="center"/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ascii="Times New Roman" w:hAnsi="Times New Roman" w:cs="宋体"/>
          <w:color w:val="000000" w:themeColor="text1"/>
          <w:kern w:val="0"/>
          <w:sz w:val="24"/>
        </w:rPr>
      </w:pP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表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：2021年财政收入及其增长速度</w:t>
      </w:r>
    </w:p>
    <w:tbl>
      <w:tblPr>
        <w:tblStyle w:val="5"/>
        <w:tblpPr w:leftFromText="180" w:rightFromText="180" w:vertAnchor="text" w:horzAnchor="page" w:tblpX="1511" w:tblpY="122"/>
        <w:tblOverlap w:val="never"/>
        <w:tblW w:w="8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4"/>
        <w:gridCol w:w="1969"/>
        <w:gridCol w:w="2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4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指标</w:t>
            </w:r>
          </w:p>
        </w:tc>
        <w:tc>
          <w:tcPr>
            <w:tcW w:w="19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2021年（亿元）</w:t>
            </w:r>
          </w:p>
        </w:tc>
        <w:tc>
          <w:tcPr>
            <w:tcW w:w="2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tcMar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比上年增长</w:t>
            </w: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4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、一般公共预算总收入</w:t>
            </w:r>
          </w:p>
        </w:tc>
        <w:tc>
          <w:tcPr>
            <w:tcW w:w="1969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57.40</w:t>
            </w:r>
          </w:p>
        </w:tc>
        <w:tc>
          <w:tcPr>
            <w:tcW w:w="2275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12.6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4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ind w:firstLine="240" w:firstLineChars="100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地方一般公共财政预算收入</w:t>
            </w:r>
          </w:p>
        </w:tc>
        <w:tc>
          <w:tcPr>
            <w:tcW w:w="1969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39.78</w:t>
            </w:r>
          </w:p>
        </w:tc>
        <w:tc>
          <w:tcPr>
            <w:tcW w:w="2275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16.4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4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ind w:firstLine="240" w:firstLineChars="100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地方税收收入</w:t>
            </w:r>
          </w:p>
        </w:tc>
        <w:tc>
          <w:tcPr>
            <w:tcW w:w="1969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32.02</w:t>
            </w:r>
          </w:p>
        </w:tc>
        <w:tc>
          <w:tcPr>
            <w:tcW w:w="2275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17.4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4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ind w:firstLine="480" w:firstLineChars="200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  <w:t>#</w:t>
            </w: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增值税</w:t>
            </w:r>
          </w:p>
        </w:tc>
        <w:tc>
          <w:tcPr>
            <w:tcW w:w="1969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9.84</w:t>
            </w:r>
          </w:p>
        </w:tc>
        <w:tc>
          <w:tcPr>
            <w:tcW w:w="2275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10.0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4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企业所得税</w:t>
            </w:r>
          </w:p>
        </w:tc>
        <w:tc>
          <w:tcPr>
            <w:tcW w:w="1969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4.28</w:t>
            </w:r>
          </w:p>
        </w:tc>
        <w:tc>
          <w:tcPr>
            <w:tcW w:w="2275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4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ind w:firstLine="720" w:firstLineChars="300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契税</w:t>
            </w:r>
          </w:p>
        </w:tc>
        <w:tc>
          <w:tcPr>
            <w:tcW w:w="1969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6.58</w:t>
            </w:r>
          </w:p>
        </w:tc>
        <w:tc>
          <w:tcPr>
            <w:tcW w:w="2275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39.7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left"/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bCs/>
                <w:color w:val="000000" w:themeColor="text1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cs="宋体"/>
                <w:bCs/>
                <w:color w:val="000000" w:themeColor="text1"/>
                <w:kern w:val="0"/>
                <w:sz w:val="24"/>
              </w:rPr>
              <w:t>、基金收入</w:t>
            </w:r>
          </w:p>
        </w:tc>
        <w:tc>
          <w:tcPr>
            <w:tcW w:w="1969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97.24</w:t>
            </w:r>
          </w:p>
        </w:tc>
        <w:tc>
          <w:tcPr>
            <w:tcW w:w="2275" w:type="dxa"/>
            <w:tcBorders>
              <w:top w:val="nil"/>
              <w:left w:val="single" w:color="auto" w:sz="2" w:space="0"/>
              <w:bottom w:val="single" w:color="auto" w:sz="2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70.7</w:t>
            </w:r>
          </w:p>
        </w:tc>
      </w:tr>
    </w:tbl>
    <w:p>
      <w:pPr>
        <w:widowControl/>
        <w:shd w:val="clear" w:color="auto" w:fill="FFFFFF"/>
        <w:spacing w:line="200" w:lineRule="exact"/>
        <w:jc w:val="center"/>
        <w:rPr>
          <w:rFonts w:ascii="Times New Roman" w:hAnsi="Times New Roman" w:cs="宋体"/>
          <w:color w:val="000000" w:themeColor="text1"/>
          <w:kern w:val="0"/>
          <w:sz w:val="24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4" w:firstLineChars="200"/>
        <w:textAlignment w:val="auto"/>
        <w:rPr>
          <w:rFonts w:ascii="Times New Roman" w:hAnsi="Times New Roman" w:eastAsia="仿宋_GB2312"/>
          <w:color w:val="auto"/>
          <w:spacing w:val="11"/>
          <w:sz w:val="32"/>
          <w:szCs w:val="32"/>
        </w:rPr>
      </w:pPr>
      <w:r>
        <w:rPr>
          <w:rFonts w:ascii="Times New Roman" w:hAnsi="Times New Roman" w:eastAsia="楷体_GB2312"/>
          <w:color w:val="auto"/>
          <w:spacing w:val="11"/>
          <w:sz w:val="32"/>
          <w:szCs w:val="32"/>
        </w:rPr>
        <w:t>金融：</w:t>
      </w:r>
      <w:r>
        <w:rPr>
          <w:rFonts w:ascii="Times New Roman" w:hAnsi="Times New Roman" w:eastAsia="仿宋_GB2312"/>
          <w:color w:val="auto"/>
          <w:spacing w:val="11"/>
          <w:sz w:val="32"/>
          <w:szCs w:val="32"/>
        </w:rPr>
        <w:t>年末全区金融机构本外币各项存款余额</w:t>
      </w:r>
      <w:r>
        <w:rPr>
          <w:rFonts w:hint="eastAsia" w:ascii="Times New Roman" w:hAnsi="Times New Roman" w:eastAsia="仿宋_GB2312"/>
          <w:color w:val="auto"/>
          <w:spacing w:val="11"/>
          <w:sz w:val="32"/>
          <w:szCs w:val="32"/>
        </w:rPr>
        <w:t>481.64</w:t>
      </w:r>
      <w:r>
        <w:rPr>
          <w:rFonts w:ascii="Times New Roman" w:hAnsi="Times New Roman" w:eastAsia="仿宋_GB2312"/>
          <w:color w:val="auto"/>
          <w:spacing w:val="11"/>
          <w:sz w:val="32"/>
          <w:szCs w:val="32"/>
        </w:rPr>
        <w:t>亿元，</w:t>
      </w:r>
      <w:r>
        <w:rPr>
          <w:rFonts w:hint="eastAsia" w:ascii="Times New Roman" w:hAnsi="Times New Roman" w:eastAsia="仿宋_GB2312"/>
          <w:color w:val="auto"/>
          <w:spacing w:val="11"/>
          <w:sz w:val="32"/>
          <w:szCs w:val="32"/>
        </w:rPr>
        <w:t>比上年</w:t>
      </w:r>
      <w:r>
        <w:rPr>
          <w:rFonts w:ascii="Times New Roman" w:hAnsi="Times New Roman" w:eastAsia="仿宋_GB2312"/>
          <w:color w:val="auto"/>
          <w:spacing w:val="11"/>
          <w:sz w:val="32"/>
          <w:szCs w:val="32"/>
        </w:rPr>
        <w:t>增长</w:t>
      </w:r>
      <w:r>
        <w:rPr>
          <w:rFonts w:hint="eastAsia" w:ascii="Times New Roman" w:hAnsi="Times New Roman" w:eastAsia="仿宋_GB2312"/>
          <w:color w:val="auto"/>
          <w:spacing w:val="11"/>
          <w:sz w:val="32"/>
          <w:szCs w:val="32"/>
        </w:rPr>
        <w:t>7.8</w:t>
      </w:r>
      <w:r>
        <w:rPr>
          <w:rFonts w:ascii="Times New Roman" w:hAnsi="Times New Roman" w:eastAsia="仿宋_GB2312"/>
          <w:color w:val="auto"/>
          <w:spacing w:val="11"/>
          <w:sz w:val="32"/>
          <w:szCs w:val="32"/>
        </w:rPr>
        <w:t>%。其中，个人存款余额</w:t>
      </w:r>
      <w:r>
        <w:rPr>
          <w:rFonts w:hint="eastAsia" w:ascii="Times New Roman" w:hAnsi="Times New Roman" w:eastAsia="仿宋_GB2312"/>
          <w:color w:val="auto"/>
          <w:spacing w:val="11"/>
          <w:sz w:val="32"/>
          <w:szCs w:val="32"/>
        </w:rPr>
        <w:t>294.45</w:t>
      </w:r>
      <w:r>
        <w:rPr>
          <w:rFonts w:ascii="Times New Roman" w:hAnsi="Times New Roman" w:eastAsia="仿宋_GB2312"/>
          <w:color w:val="auto"/>
          <w:spacing w:val="11"/>
          <w:sz w:val="32"/>
          <w:szCs w:val="32"/>
        </w:rPr>
        <w:t>亿元，增长</w:t>
      </w:r>
      <w:r>
        <w:rPr>
          <w:rFonts w:hint="eastAsia" w:ascii="Times New Roman" w:hAnsi="Times New Roman" w:eastAsia="仿宋_GB2312"/>
          <w:color w:val="auto"/>
          <w:spacing w:val="11"/>
          <w:sz w:val="32"/>
          <w:szCs w:val="32"/>
        </w:rPr>
        <w:t>13.0</w:t>
      </w:r>
      <w:r>
        <w:rPr>
          <w:rFonts w:ascii="Times New Roman" w:hAnsi="Times New Roman" w:eastAsia="仿宋_GB2312"/>
          <w:color w:val="auto"/>
          <w:spacing w:val="1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pacing w:val="11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/>
          <w:color w:val="auto"/>
          <w:spacing w:val="11"/>
          <w:sz w:val="32"/>
          <w:szCs w:val="32"/>
        </w:rPr>
        <w:t>单位存款余额</w:t>
      </w:r>
      <w:r>
        <w:rPr>
          <w:rFonts w:hint="eastAsia" w:ascii="Times New Roman" w:hAnsi="Times New Roman" w:eastAsia="仿宋_GB2312"/>
          <w:color w:val="auto"/>
          <w:spacing w:val="11"/>
          <w:sz w:val="32"/>
          <w:szCs w:val="32"/>
        </w:rPr>
        <w:t>182.54</w:t>
      </w:r>
      <w:r>
        <w:rPr>
          <w:rFonts w:ascii="Times New Roman" w:hAnsi="Times New Roman" w:eastAsia="仿宋_GB2312"/>
          <w:color w:val="auto"/>
          <w:spacing w:val="11"/>
          <w:sz w:val="32"/>
          <w:szCs w:val="32"/>
        </w:rPr>
        <w:t>亿元，</w:t>
      </w:r>
      <w:r>
        <w:rPr>
          <w:rFonts w:ascii="Times New Roman" w:eastAsia="仿宋_GB2312"/>
          <w:color w:val="auto"/>
          <w:spacing w:val="11"/>
          <w:sz w:val="32"/>
          <w:szCs w:val="32"/>
        </w:rPr>
        <w:t>增长</w:t>
      </w:r>
      <w:r>
        <w:rPr>
          <w:rFonts w:hint="eastAsia" w:ascii="Times New Roman" w:hAnsi="Times New Roman" w:eastAsia="仿宋_GB2312"/>
          <w:color w:val="auto"/>
          <w:spacing w:val="11"/>
          <w:sz w:val="32"/>
          <w:szCs w:val="32"/>
        </w:rPr>
        <w:t>4.2</w:t>
      </w:r>
      <w:r>
        <w:rPr>
          <w:rFonts w:ascii="Times New Roman" w:hAnsi="Times New Roman" w:eastAsia="仿宋_GB2312"/>
          <w:color w:val="auto"/>
          <w:spacing w:val="11"/>
          <w:sz w:val="32"/>
          <w:szCs w:val="32"/>
        </w:rPr>
        <w:t>%。全年金融机构本外币各项贷款余额</w:t>
      </w:r>
      <w:r>
        <w:rPr>
          <w:rFonts w:hint="eastAsia" w:ascii="Times New Roman" w:hAnsi="Times New Roman" w:eastAsia="仿宋_GB2312"/>
          <w:color w:val="auto"/>
          <w:spacing w:val="11"/>
          <w:sz w:val="32"/>
          <w:szCs w:val="32"/>
        </w:rPr>
        <w:t>467.59</w:t>
      </w:r>
      <w:r>
        <w:rPr>
          <w:rFonts w:ascii="Times New Roman" w:hAnsi="Times New Roman" w:eastAsia="仿宋_GB2312"/>
          <w:color w:val="auto"/>
          <w:spacing w:val="11"/>
          <w:sz w:val="32"/>
          <w:szCs w:val="32"/>
        </w:rPr>
        <w:t>亿元，增长</w:t>
      </w:r>
      <w:r>
        <w:rPr>
          <w:rFonts w:hint="eastAsia" w:ascii="Times New Roman" w:hAnsi="Times New Roman" w:eastAsia="仿宋_GB2312"/>
          <w:color w:val="auto"/>
          <w:spacing w:val="11"/>
          <w:sz w:val="32"/>
          <w:szCs w:val="32"/>
        </w:rPr>
        <w:t>12.2</w:t>
      </w:r>
      <w:r>
        <w:rPr>
          <w:rFonts w:ascii="Times New Roman" w:hAnsi="Times New Roman" w:eastAsia="仿宋_GB2312"/>
          <w:color w:val="auto"/>
          <w:spacing w:val="11"/>
          <w:sz w:val="32"/>
          <w:szCs w:val="32"/>
        </w:rPr>
        <w:t>%。其中，短期贷款余额</w:t>
      </w:r>
      <w:r>
        <w:rPr>
          <w:rFonts w:hint="eastAsia" w:ascii="Times New Roman" w:hAnsi="Times New Roman" w:eastAsia="仿宋_GB2312"/>
          <w:color w:val="auto"/>
          <w:spacing w:val="11"/>
          <w:sz w:val="32"/>
          <w:szCs w:val="32"/>
        </w:rPr>
        <w:t>62.47</w:t>
      </w:r>
      <w:r>
        <w:rPr>
          <w:rFonts w:ascii="Times New Roman" w:hAnsi="Times New Roman" w:eastAsia="仿宋_GB2312"/>
          <w:color w:val="auto"/>
          <w:spacing w:val="11"/>
          <w:sz w:val="32"/>
          <w:szCs w:val="32"/>
        </w:rPr>
        <w:t>亿元，增长</w:t>
      </w:r>
      <w:r>
        <w:rPr>
          <w:rFonts w:hint="eastAsia" w:ascii="Times New Roman" w:hAnsi="Times New Roman" w:eastAsia="仿宋_GB2312"/>
          <w:color w:val="auto"/>
          <w:spacing w:val="11"/>
          <w:sz w:val="32"/>
          <w:szCs w:val="32"/>
        </w:rPr>
        <w:t>15.9</w:t>
      </w:r>
      <w:r>
        <w:rPr>
          <w:rFonts w:ascii="Times New Roman" w:hAnsi="Times New Roman" w:eastAsia="仿宋_GB2312"/>
          <w:color w:val="auto"/>
          <w:spacing w:val="11"/>
          <w:sz w:val="32"/>
          <w:szCs w:val="32"/>
        </w:rPr>
        <w:t>%；中长期贷款</w:t>
      </w:r>
      <w:r>
        <w:rPr>
          <w:rFonts w:hint="eastAsia" w:ascii="Times New Roman" w:hAnsi="Times New Roman" w:eastAsia="仿宋_GB2312"/>
          <w:color w:val="auto"/>
          <w:spacing w:val="11"/>
          <w:sz w:val="32"/>
          <w:szCs w:val="32"/>
        </w:rPr>
        <w:t>403.28</w:t>
      </w:r>
      <w:r>
        <w:rPr>
          <w:rFonts w:ascii="Times New Roman" w:hAnsi="Times New Roman" w:eastAsia="仿宋_GB2312"/>
          <w:color w:val="auto"/>
          <w:spacing w:val="11"/>
          <w:sz w:val="32"/>
          <w:szCs w:val="32"/>
        </w:rPr>
        <w:t>亿元，</w:t>
      </w:r>
      <w:r>
        <w:rPr>
          <w:rFonts w:hint="eastAsia" w:ascii="Times New Roman" w:hAnsi="Times New Roman" w:eastAsia="仿宋_GB2312"/>
          <w:color w:val="auto"/>
          <w:spacing w:val="11"/>
          <w:sz w:val="32"/>
          <w:szCs w:val="32"/>
        </w:rPr>
        <w:t>增长12.8</w:t>
      </w:r>
      <w:r>
        <w:rPr>
          <w:rFonts w:ascii="Times New Roman" w:hAnsi="Times New Roman" w:eastAsia="仿宋_GB2312"/>
          <w:color w:val="auto"/>
          <w:spacing w:val="11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黑体" w:cs="宋体"/>
          <w:color w:val="000000" w:themeColor="text1"/>
          <w:spacing w:val="11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000000" w:themeColor="text1"/>
          <w:spacing w:val="11"/>
          <w:kern w:val="0"/>
          <w:sz w:val="32"/>
          <w:szCs w:val="32"/>
          <w:lang w:val="zh-CN"/>
        </w:rPr>
        <w:t>八、科学技术和教育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4" w:firstLineChars="200"/>
        <w:textAlignment w:val="auto"/>
        <w:rPr>
          <w:rFonts w:ascii="Times New Roman" w:hAnsi="Times New Roman" w:eastAsia="仿宋_GB2312"/>
          <w:color w:val="auto"/>
          <w:spacing w:val="11"/>
          <w:sz w:val="32"/>
          <w:szCs w:val="32"/>
        </w:rPr>
      </w:pPr>
      <w:r>
        <w:rPr>
          <w:rFonts w:hint="eastAsia" w:ascii="楷体_GB2312" w:eastAsia="楷体_GB2312"/>
          <w:color w:val="auto"/>
          <w:spacing w:val="11"/>
          <w:sz w:val="32"/>
          <w:szCs w:val="32"/>
        </w:rPr>
        <w:t>科技：</w:t>
      </w:r>
      <w:r>
        <w:rPr>
          <w:rFonts w:hint="eastAsia" w:ascii="Times New Roman" w:hAnsi="Times New Roman" w:eastAsia="仿宋_GB2312"/>
          <w:color w:val="auto"/>
          <w:spacing w:val="11"/>
          <w:sz w:val="32"/>
          <w:szCs w:val="32"/>
        </w:rPr>
        <w:t>全年共安排区级科技项目131项，其中：高新技术企业奖励128项，科技孵化器补贴项目3项。争取国家科技部、省、市科技项目105项，争取市级以上项目资金1860万元，年度投入科技研究开发资金7099.48万元（不含企业投入）。全年规模以上高新技术产业增加值113.12亿元，比上年增长1.0 %，占</w:t>
      </w:r>
      <w:r>
        <w:rPr>
          <w:rFonts w:ascii="Times New Roman" w:hAnsi="Times New Roman" w:eastAsia="仿宋_GB2312"/>
          <w:color w:val="auto"/>
          <w:spacing w:val="11"/>
          <w:sz w:val="32"/>
          <w:szCs w:val="32"/>
        </w:rPr>
        <w:t>GDP</w:t>
      </w:r>
      <w:r>
        <w:rPr>
          <w:rFonts w:hint="eastAsia" w:ascii="Times New Roman" w:hAnsi="Times New Roman" w:eastAsia="仿宋_GB2312"/>
          <w:color w:val="auto"/>
          <w:spacing w:val="11"/>
          <w:sz w:val="32"/>
          <w:szCs w:val="32"/>
        </w:rPr>
        <w:t>比重27.9</w:t>
      </w:r>
      <w:r>
        <w:rPr>
          <w:rFonts w:ascii="Times New Roman" w:hAnsi="Times New Roman" w:eastAsia="仿宋_GB2312"/>
          <w:color w:val="auto"/>
          <w:spacing w:val="11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pacing w:val="11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4" w:firstLineChars="200"/>
        <w:textAlignment w:val="auto"/>
        <w:rPr>
          <w:rFonts w:ascii="仿宋_GB2312" w:eastAsia="仿宋_GB2312"/>
          <w:color w:val="auto"/>
          <w:spacing w:val="11"/>
          <w:sz w:val="32"/>
          <w:szCs w:val="32"/>
        </w:rPr>
      </w:pPr>
      <w:r>
        <w:rPr>
          <w:rFonts w:hint="eastAsia" w:ascii="仿宋_GB2312" w:eastAsia="仿宋_GB2312"/>
          <w:color w:val="auto"/>
          <w:spacing w:val="11"/>
          <w:sz w:val="32"/>
          <w:szCs w:val="32"/>
        </w:rPr>
        <w:t>全年专利申请量3283件，授权量93件，比上年增长95.8</w:t>
      </w:r>
      <w:r>
        <w:rPr>
          <w:rFonts w:ascii="仿宋_GB2312" w:eastAsia="仿宋_GB2312"/>
          <w:color w:val="auto"/>
          <w:spacing w:val="11"/>
          <w:sz w:val="32"/>
          <w:szCs w:val="32"/>
        </w:rPr>
        <w:t>%</w:t>
      </w:r>
      <w:r>
        <w:rPr>
          <w:rFonts w:hint="eastAsia" w:ascii="仿宋_GB2312" w:eastAsia="仿宋_GB2312"/>
          <w:color w:val="auto"/>
          <w:spacing w:val="11"/>
          <w:sz w:val="32"/>
          <w:szCs w:val="32"/>
        </w:rPr>
        <w:t>和75.5</w:t>
      </w:r>
      <w:r>
        <w:rPr>
          <w:rFonts w:ascii="仿宋_GB2312" w:eastAsia="仿宋_GB2312"/>
          <w:color w:val="auto"/>
          <w:spacing w:val="11"/>
          <w:sz w:val="32"/>
          <w:szCs w:val="32"/>
        </w:rPr>
        <w:t>%</w:t>
      </w:r>
      <w:r>
        <w:rPr>
          <w:rFonts w:hint="eastAsia" w:ascii="仿宋_GB2312" w:eastAsia="仿宋_GB2312"/>
          <w:color w:val="auto"/>
          <w:spacing w:val="11"/>
          <w:sz w:val="32"/>
          <w:szCs w:val="32"/>
        </w:rPr>
        <w:t>。每万人发明专利拥有量4.66件。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4" w:firstLineChars="200"/>
        <w:textAlignment w:val="auto"/>
        <w:rPr>
          <w:rFonts w:hint="eastAsia" w:ascii="Times New Roman" w:hAnsi="Times New Roman" w:eastAsia="仿宋_GB2312"/>
          <w:color w:val="auto"/>
          <w:spacing w:val="11"/>
          <w:sz w:val="32"/>
          <w:szCs w:val="32"/>
        </w:rPr>
      </w:pPr>
      <w:r>
        <w:rPr>
          <w:rFonts w:hint="eastAsia" w:ascii="楷体_GB2312" w:eastAsia="楷体_GB2312"/>
          <w:color w:val="auto"/>
          <w:spacing w:val="11"/>
          <w:sz w:val="32"/>
          <w:szCs w:val="32"/>
          <w:lang w:eastAsia="zh-CN"/>
        </w:rPr>
        <w:t>教育：</w:t>
      </w:r>
      <w:r>
        <w:rPr>
          <w:rFonts w:hint="eastAsia" w:ascii="Times New Roman" w:hAnsi="Times New Roman" w:eastAsia="仿宋_GB2312"/>
          <w:color w:val="auto"/>
          <w:spacing w:val="11"/>
          <w:sz w:val="32"/>
          <w:szCs w:val="32"/>
        </w:rPr>
        <w:t>年末全区拥有普通中学33所，在校生18271人；职业中学1所，在校生2072人；小学54所，在校生32413人；注册幼儿园119所，在园幼儿园15855人。全区学校占地面积256.22万平方米，校舍建筑87.76万平方米。学龄儿童入学率100%，初中入学率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4" w:firstLineChars="200"/>
        <w:textAlignment w:val="auto"/>
        <w:rPr>
          <w:rFonts w:hint="eastAsia" w:ascii="Times New Roman" w:hAnsi="Times New Roman" w:eastAsia="仿宋_GB2312"/>
          <w:color w:val="auto"/>
          <w:spacing w:val="11"/>
          <w:sz w:val="32"/>
          <w:szCs w:val="32"/>
        </w:rPr>
      </w:pPr>
    </w:p>
    <w:p>
      <w:pPr>
        <w:widowControl/>
        <w:shd w:val="clear" w:color="auto" w:fill="FFFFFF"/>
        <w:adjustRightInd w:val="0"/>
        <w:spacing w:beforeLines="50" w:line="580" w:lineRule="exact"/>
        <w:jc w:val="center"/>
        <w:rPr>
          <w:rFonts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表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：2021年各类学校数和在校学生数情况</w:t>
      </w:r>
    </w:p>
    <w:tbl>
      <w:tblPr>
        <w:tblStyle w:val="5"/>
        <w:tblpPr w:leftFromText="180" w:rightFromText="180" w:vertAnchor="text" w:horzAnchor="page" w:tblpX="1855" w:tblpY="182"/>
        <w:tblOverlap w:val="never"/>
        <w:tblW w:w="883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4"/>
        <w:gridCol w:w="1690"/>
        <w:gridCol w:w="1678"/>
        <w:gridCol w:w="173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7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69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7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2021年</w:t>
            </w:r>
          </w:p>
        </w:tc>
        <w:tc>
          <w:tcPr>
            <w:tcW w:w="1736" w:type="dxa"/>
            <w:tcBorders>
              <w:bottom w:val="single" w:color="auto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7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700" w:lineRule="exact"/>
              <w:ind w:firstLine="480" w:firstLineChars="20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学校总数</w:t>
            </w:r>
          </w:p>
        </w:tc>
        <w:tc>
          <w:tcPr>
            <w:tcW w:w="169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所</w:t>
            </w:r>
          </w:p>
        </w:tc>
        <w:tc>
          <w:tcPr>
            <w:tcW w:w="1678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207</w:t>
            </w:r>
          </w:p>
        </w:tc>
        <w:tc>
          <w:tcPr>
            <w:tcW w:w="1736" w:type="dxa"/>
            <w:tcBorders>
              <w:top w:val="single" w:color="auto" w:sz="4" w:space="0"/>
            </w:tcBorders>
            <w:shd w:val="clear" w:color="auto" w:fill="FFFFFF"/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199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700" w:lineRule="exact"/>
              <w:ind w:firstLine="720" w:firstLineChars="30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中等职业学校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所</w:t>
            </w:r>
          </w:p>
        </w:tc>
        <w:tc>
          <w:tcPr>
            <w:tcW w:w="16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36" w:type="dxa"/>
            <w:shd w:val="clear" w:color="auto" w:fill="FFFFFF"/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700" w:lineRule="exact"/>
              <w:ind w:firstLine="720" w:firstLineChars="30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普通中学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所</w:t>
            </w:r>
          </w:p>
        </w:tc>
        <w:tc>
          <w:tcPr>
            <w:tcW w:w="16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736" w:type="dxa"/>
            <w:shd w:val="clear" w:color="auto" w:fill="FFFFFF"/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700" w:lineRule="exact"/>
              <w:ind w:firstLine="720" w:firstLineChars="30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小学</w:t>
            </w:r>
          </w:p>
          <w:p>
            <w:pPr>
              <w:widowControl/>
              <w:shd w:val="clear" w:color="auto" w:fill="FFFFFF"/>
              <w:spacing w:line="700" w:lineRule="exact"/>
              <w:ind w:firstLine="720" w:firstLineChars="30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所</w:t>
            </w:r>
          </w:p>
          <w:p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所</w:t>
            </w:r>
          </w:p>
        </w:tc>
        <w:tc>
          <w:tcPr>
            <w:tcW w:w="16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54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736" w:type="dxa"/>
            <w:shd w:val="clear" w:color="auto" w:fill="FFFFFF"/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54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112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700" w:lineRule="exact"/>
              <w:ind w:firstLine="480" w:firstLineChars="20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在校学生总数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6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68611</w:t>
            </w:r>
          </w:p>
        </w:tc>
        <w:tc>
          <w:tcPr>
            <w:tcW w:w="1736" w:type="dxa"/>
            <w:shd w:val="clear" w:color="auto" w:fill="FFFFFF"/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65409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700" w:lineRule="exact"/>
              <w:ind w:firstLine="720" w:firstLineChars="30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中等职业学校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shd w:val="clear" w:color="auto" w:fill="FFFFFF"/>
              <w:spacing w:line="7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6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2072</w:t>
            </w:r>
          </w:p>
        </w:tc>
        <w:tc>
          <w:tcPr>
            <w:tcW w:w="1736" w:type="dxa"/>
            <w:shd w:val="clear" w:color="auto" w:fill="FFFFFF"/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2065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700" w:lineRule="exact"/>
              <w:ind w:firstLine="720" w:firstLineChars="30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普通中学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shd w:val="clear" w:color="auto" w:fill="FFFFFF"/>
              <w:spacing w:line="7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6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18271</w:t>
            </w:r>
          </w:p>
        </w:tc>
        <w:tc>
          <w:tcPr>
            <w:tcW w:w="1736" w:type="dxa"/>
            <w:shd w:val="clear" w:color="auto" w:fill="FFFFFF"/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16860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3734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700" w:lineRule="exact"/>
              <w:ind w:firstLine="720" w:firstLineChars="30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小学生</w:t>
            </w:r>
          </w:p>
          <w:p>
            <w:pPr>
              <w:widowControl/>
              <w:shd w:val="clear" w:color="auto" w:fill="FFFFFF"/>
              <w:spacing w:line="700" w:lineRule="exact"/>
              <w:ind w:firstLine="720" w:firstLineChars="300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690" w:type="dxa"/>
            <w:shd w:val="clear" w:color="auto" w:fill="auto"/>
            <w:vAlign w:val="center"/>
          </w:tcPr>
          <w:p>
            <w:pPr>
              <w:shd w:val="clear" w:color="auto" w:fill="FFFFFF"/>
              <w:spacing w:line="7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人</w:t>
            </w:r>
          </w:p>
          <w:p>
            <w:pPr>
              <w:shd w:val="clear" w:color="auto" w:fill="FFFFFF"/>
              <w:spacing w:line="7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人</w:t>
            </w:r>
          </w:p>
        </w:tc>
        <w:tc>
          <w:tcPr>
            <w:tcW w:w="167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32413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15855</w:t>
            </w:r>
          </w:p>
        </w:tc>
        <w:tc>
          <w:tcPr>
            <w:tcW w:w="1736" w:type="dxa"/>
            <w:shd w:val="clear" w:color="auto" w:fill="FFFFFF"/>
            <w:tcMar>
              <w:left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30426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16058</w:t>
            </w:r>
          </w:p>
        </w:tc>
      </w:tr>
    </w:tbl>
    <w:p>
      <w:pPr>
        <w:widowControl/>
        <w:shd w:val="clear" w:color="auto" w:fill="FFFFFF"/>
        <w:spacing w:line="580" w:lineRule="exact"/>
        <w:jc w:val="center"/>
        <w:rPr>
          <w:rFonts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  <w:t>九、文体、广电和卫生</w:t>
      </w:r>
    </w:p>
    <w:p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文化体育：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全区共有10个综合文化站，全年组织开展文体活动500余场，惠及群众55.34万余人次。举办城乡文化交流及送戏下乡演出等300余场。组织开展了第20届“莲花奖”知音文化艺术节、花开盛世、莲颂知音”中国女诗人蔡甸诗画行、后官湖半程马拉松线上赛、区第九届全民健身运动会等大型文体活动。参加各级举办的各类比赛中，共获得59枚金牌、26枚银牌、27枚铜牌。</w:t>
      </w:r>
    </w:p>
    <w:p>
      <w:pPr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广播电视：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年末全区数字电视在线用户122373户,其中在用用户38913户。全区广播电视综合覆盖率为100%。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Times New Roman" w:eastAsia="楷体_GB2312" w:cs="仿宋"/>
          <w:color w:val="auto"/>
          <w:sz w:val="32"/>
          <w:szCs w:val="32"/>
        </w:rPr>
        <w:t>公共卫生：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年末全区有各类公共卫生机构383个（含门诊部、诊所、医务室、社区卫生服务站），实有床位2403张，卫生技术人员3996人，其中中西执业（助理）医师1157人。全年诊疗  256.75万人次，入院人数6.55万人，治愈率99.5%。</w:t>
      </w:r>
    </w:p>
    <w:p>
      <w:pPr>
        <w:widowControl/>
        <w:shd w:val="clear" w:color="auto" w:fill="FFFFFF"/>
        <w:adjustRightInd w:val="0"/>
        <w:spacing w:beforeLines="50" w:line="580" w:lineRule="exact"/>
        <w:jc w:val="center"/>
        <w:rPr>
          <w:rFonts w:ascii="Times New Roman" w:hAnsi="Times New Roman" w:cs="宋体"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表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cs="宋体"/>
          <w:color w:val="000000" w:themeColor="text1"/>
          <w:kern w:val="0"/>
          <w:sz w:val="28"/>
          <w:szCs w:val="28"/>
        </w:rPr>
        <w:t>：2021年公共卫生事业情况</w:t>
      </w:r>
    </w:p>
    <w:tbl>
      <w:tblPr>
        <w:tblStyle w:val="5"/>
        <w:tblpPr w:leftFromText="180" w:rightFromText="180" w:vertAnchor="text" w:horzAnchor="page" w:tblpX="1927" w:tblpY="357"/>
        <w:tblOverlap w:val="never"/>
        <w:tblW w:w="813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3"/>
        <w:gridCol w:w="1695"/>
        <w:gridCol w:w="162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48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指标</w:t>
            </w:r>
          </w:p>
        </w:tc>
        <w:tc>
          <w:tcPr>
            <w:tcW w:w="16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162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21年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82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卫生事业机构数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个</w:t>
            </w:r>
          </w:p>
        </w:tc>
        <w:tc>
          <w:tcPr>
            <w:tcW w:w="162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Times New Roman" w:hAnsi="Times New Roman"/>
              </w:rPr>
              <w:t>383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823" w:type="dxa"/>
            <w:shd w:val="clear" w:color="auto" w:fill="auto"/>
          </w:tcPr>
          <w:p>
            <w:pPr>
              <w:widowControl/>
              <w:shd w:val="clear" w:color="auto" w:fill="FFFFFF"/>
              <w:spacing w:line="580" w:lineRule="exact"/>
              <w:ind w:firstLine="240" w:firstLineChars="10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#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医院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个</w:t>
            </w:r>
          </w:p>
        </w:tc>
        <w:tc>
          <w:tcPr>
            <w:tcW w:w="162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Times New Roman" w:hAnsi="Times New Roman"/>
              </w:rPr>
              <w:t>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823" w:type="dxa"/>
            <w:shd w:val="clear" w:color="auto" w:fill="auto"/>
          </w:tcPr>
          <w:p>
            <w:pPr>
              <w:widowControl/>
              <w:shd w:val="clear" w:color="auto" w:fill="FFFFFF"/>
              <w:spacing w:line="580" w:lineRule="exact"/>
              <w:ind w:firstLine="480" w:firstLineChars="200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卫生院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个</w:t>
            </w:r>
          </w:p>
        </w:tc>
        <w:tc>
          <w:tcPr>
            <w:tcW w:w="162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hint="eastAsia" w:ascii="Times New Roman" w:hAnsi="Times New Roman"/>
              </w:rPr>
              <w:t>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823" w:type="dxa"/>
            <w:shd w:val="clear" w:color="auto" w:fill="auto"/>
          </w:tcPr>
          <w:p>
            <w:pPr>
              <w:widowControl/>
              <w:shd w:val="clear" w:color="auto" w:fill="FFFFFF"/>
              <w:spacing w:line="580" w:lineRule="exact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疾病预防控制中心（防疫站）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个</w:t>
            </w:r>
          </w:p>
        </w:tc>
        <w:tc>
          <w:tcPr>
            <w:tcW w:w="162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823" w:type="dxa"/>
            <w:shd w:val="clear" w:color="auto" w:fill="auto"/>
          </w:tcPr>
          <w:p>
            <w:pPr>
              <w:widowControl/>
              <w:shd w:val="clear" w:color="auto" w:fill="FFFFFF"/>
              <w:spacing w:line="580" w:lineRule="exact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妇幼保健院（所、站）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个</w:t>
            </w:r>
          </w:p>
        </w:tc>
        <w:tc>
          <w:tcPr>
            <w:tcW w:w="162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823" w:type="dxa"/>
            <w:shd w:val="clear" w:color="auto" w:fill="auto"/>
          </w:tcPr>
          <w:p>
            <w:pPr>
              <w:widowControl/>
              <w:shd w:val="clear" w:color="auto" w:fill="FFFFFF"/>
              <w:spacing w:line="580" w:lineRule="exact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卫生机构床位数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张</w:t>
            </w:r>
          </w:p>
        </w:tc>
        <w:tc>
          <w:tcPr>
            <w:tcW w:w="162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Times New Roman" w:hAnsi="Times New Roman"/>
              </w:rPr>
              <w:t>2403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823" w:type="dxa"/>
            <w:shd w:val="clear" w:color="auto" w:fill="auto"/>
          </w:tcPr>
          <w:p>
            <w:pPr>
              <w:widowControl/>
              <w:shd w:val="clear" w:color="auto" w:fill="FFFFFF"/>
              <w:spacing w:line="580" w:lineRule="exact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#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医院床位数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张</w:t>
            </w:r>
          </w:p>
        </w:tc>
        <w:tc>
          <w:tcPr>
            <w:tcW w:w="162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Times New Roman" w:hAnsi="Times New Roman"/>
              </w:rPr>
              <w:t>1753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823" w:type="dxa"/>
            <w:shd w:val="clear" w:color="auto" w:fill="auto"/>
          </w:tcPr>
          <w:p>
            <w:pPr>
              <w:widowControl/>
              <w:shd w:val="clear" w:color="auto" w:fill="FFFFFF"/>
              <w:spacing w:line="580" w:lineRule="exact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卫生技术人员数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162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Times New Roman" w:hAnsi="Times New Roman"/>
              </w:rPr>
              <w:t>3996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823" w:type="dxa"/>
            <w:shd w:val="clear" w:color="auto" w:fill="auto"/>
          </w:tcPr>
          <w:p>
            <w:pPr>
              <w:widowControl/>
              <w:shd w:val="clear" w:color="auto" w:fill="FFFFFF"/>
              <w:spacing w:line="580" w:lineRule="exact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  <w:t>#</w:t>
            </w: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执业（助理）医师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162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Times New Roman" w:hAnsi="Times New Roman"/>
              </w:rPr>
              <w:t>1157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482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shd w:val="clear" w:color="auto" w:fill="FFFFFF"/>
              <w:spacing w:line="580" w:lineRule="exact"/>
              <w:jc w:val="left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注册护士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80" w:lineRule="exact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162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</w:rPr>
            </w:pPr>
            <w:r>
              <w:rPr>
                <w:rFonts w:hint="eastAsia" w:ascii="Times New Roman" w:hAnsi="Times New Roman"/>
              </w:rPr>
              <w:t>1497</w:t>
            </w:r>
          </w:p>
        </w:tc>
      </w:tr>
    </w:tbl>
    <w:p>
      <w:pPr>
        <w:widowControl/>
        <w:shd w:val="clear" w:color="auto" w:fill="FFFFFF"/>
        <w:spacing w:line="580" w:lineRule="exact"/>
        <w:jc w:val="center"/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  <w:t>十、</w:t>
      </w: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</w:rPr>
        <w:t>居</w:t>
      </w: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  <w:t>民生活和社会保障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  <w:shd w:val="clear" w:color="auto" w:fill="FFFFFF"/>
        </w:rPr>
        <w:t>居民生活：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全年城镇常住居民人均可支配收入40910元，比上年增长9.5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。农村常住居民人均可支配收入25396元，增长13.5</w:t>
      </w:r>
      <w:r>
        <w:rPr>
          <w:rFonts w:ascii="Times New Roman" w:hAnsi="Times New Roman" w:eastAsia="仿宋_GB2312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城镇居民人均生活消费支出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29179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元，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17.9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％;农村居民人均消费支出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18908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元，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</w:rPr>
        <w:t>21.9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％。</w:t>
      </w:r>
    </w:p>
    <w:p>
      <w:pPr>
        <w:spacing w:line="240" w:lineRule="auto"/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</w:rPr>
        <w:pict>
          <v:shape id="_x0000_i1029" o:spt="75" alt="5居民可支配收入" type="#_x0000_t75" style="height:225.05pt;width:374.45pt;" filled="f" o:preferrelative="t" stroked="f" coordsize="21600,21600">
            <v:path/>
            <v:fill on="f" focussize="0,0"/>
            <v:stroke on="f"/>
            <v:imagedata r:id="rId11" o:title="5居民可支配收入"/>
            <o:lock v:ext="edit" aspectratio="t"/>
            <w10:wrap type="none"/>
            <w10:anchorlock/>
          </v:shape>
        </w:pic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  <w:shd w:val="clear" w:color="auto" w:fill="FFFFFF"/>
        </w:rPr>
        <w:t>社会保障：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年末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参加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城镇企业职工基本养老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、基本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医疗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失业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工伤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生育保险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人数分别为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95446人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107873人，60247人，62018人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66873人。参加城乡居民社会养老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城乡居民医疗保险人数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分别为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22.36万人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31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98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居民最低生活保障已保人数为 9538人，比去年减少715  人。其中：城镇居民 1568人，减少253人，农村居民7970人，减少462人。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年末社会福利院 12 家，民办养老机构 6 家（含 2家社区养老院），共拥有床位数7689 个。</w:t>
      </w:r>
    </w:p>
    <w:p>
      <w:pPr>
        <w:widowControl/>
        <w:shd w:val="clear" w:color="auto" w:fill="FFFFFF"/>
        <w:spacing w:line="580" w:lineRule="exact"/>
        <w:jc w:val="center"/>
        <w:rPr>
          <w:rFonts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宋体"/>
          <w:color w:val="000000" w:themeColor="text1"/>
          <w:kern w:val="0"/>
          <w:sz w:val="32"/>
          <w:szCs w:val="32"/>
          <w:lang w:val="zh-CN"/>
        </w:rPr>
        <w:t>十一、资源和环境</w:t>
      </w:r>
    </w:p>
    <w:p>
      <w:pPr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  <w:shd w:val="clear" w:color="auto" w:fill="FFFFFF"/>
        </w:rPr>
        <w:t>资源：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全年全社会能源消费量74.08万吨标准煤，全区单位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GDP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能耗比去年下降2.21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，全区单位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GDP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能耗（可比价）0.1840吨标准煤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/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万元。其中，规模以上工业能源消耗14.36万吨标准煤，单位工业增加值能耗0.13吨标准煤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/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万元，单位工业增加值能耗同比下降2.33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全年用电量19.23亿千瓦时，比上年增长22.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%，其中，全行业用电14.46亿千瓦时，增长2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8.0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%；城乡居民生活用电4.76亿千瓦时，增长7.7%。</w:t>
      </w:r>
    </w:p>
    <w:p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全区用水量16381.60万吨，单位生产总值用水量40.42吨/万元。年末区级自来水厂1个，日供水能力10万吨，全年自来水供水量3178万吨，其中居民家庭用水2701.3万吨。农村饮水安全普及率为100%，村镇饮用水卫生合格率100%。城市污水处理厂日平均处理量为9.66万吨/日。供应天燃气6618.12万立方米。</w:t>
      </w:r>
    </w:p>
    <w:p>
      <w:pPr>
        <w:spacing w:line="580" w:lineRule="exact"/>
        <w:ind w:firstLine="64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  <w:shd w:val="clear" w:color="auto" w:fill="FFFFFF"/>
        </w:rPr>
        <w:t>环境：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区域环境噪声昼间点次达标率未100%，夜间点次达标率未87.5%，全年总点次达标率未93.8%，可吸入颗粒物年均值61微克/立方米，细颗粒物年均值32 微克/立方米，二氧化硫年均值7 微克/立方米，城区空气质量优良以上天数 322天。</w:t>
      </w:r>
    </w:p>
    <w:p>
      <w:pPr>
        <w:spacing w:line="580" w:lineRule="exact"/>
        <w:ind w:firstLine="64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年末拥有环卫作业车319辆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(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含小型保洁车），清扫保洁服务面积825.01万平方米，城关垃圾处理量130吨/日，全区垃圾处理量550吨/日，垃圾处理率100 %。改造农村户厕450座，新改建农村无害化公厕245座。</w:t>
      </w:r>
    </w:p>
    <w:p>
      <w:pPr>
        <w:spacing w:line="440" w:lineRule="exact"/>
        <w:ind w:left="480" w:hanging="480" w:hangingChars="200"/>
        <w:rPr>
          <w:rFonts w:hint="eastAsia" w:ascii="仿宋" w:hAnsi="仿宋" w:eastAsia="仿宋" w:cs="仿宋"/>
          <w:sz w:val="24"/>
        </w:rPr>
      </w:pPr>
    </w:p>
    <w:p>
      <w:pPr>
        <w:spacing w:line="440" w:lineRule="exact"/>
        <w:ind w:left="480" w:hanging="480" w:hangingChars="200"/>
        <w:rPr>
          <w:rFonts w:hint="eastAsia" w:ascii="仿宋" w:hAnsi="仿宋" w:eastAsia="仿宋" w:cs="仿宋"/>
          <w:sz w:val="24"/>
        </w:rPr>
      </w:pPr>
    </w:p>
    <w:p>
      <w:pPr>
        <w:spacing w:line="440" w:lineRule="exact"/>
        <w:ind w:left="480" w:hanging="480" w:hangingChars="200"/>
        <w:rPr>
          <w:rFonts w:hint="eastAsia" w:ascii="仿宋" w:hAnsi="仿宋" w:eastAsia="仿宋" w:cs="仿宋"/>
          <w:sz w:val="24"/>
        </w:rPr>
      </w:pPr>
    </w:p>
    <w:p>
      <w:pPr>
        <w:spacing w:line="440" w:lineRule="exact"/>
        <w:ind w:left="480" w:hanging="480" w:hangingChars="200"/>
        <w:rPr>
          <w:rFonts w:hint="eastAsia" w:ascii="仿宋" w:hAnsi="仿宋" w:eastAsia="仿宋" w:cs="仿宋"/>
          <w:sz w:val="24"/>
        </w:rPr>
      </w:pPr>
    </w:p>
    <w:p>
      <w:pPr>
        <w:spacing w:line="440" w:lineRule="exact"/>
        <w:ind w:left="480" w:hanging="480" w:hangingChars="200"/>
        <w:rPr>
          <w:rFonts w:hint="eastAsia" w:ascii="仿宋" w:hAnsi="仿宋" w:eastAsia="仿宋" w:cs="仿宋"/>
          <w:sz w:val="24"/>
        </w:rPr>
      </w:pPr>
    </w:p>
    <w:p>
      <w:pPr>
        <w:spacing w:line="440" w:lineRule="exact"/>
        <w:ind w:left="480" w:hanging="480" w:hangingChars="200"/>
        <w:rPr>
          <w:rFonts w:hint="eastAsia" w:ascii="仿宋" w:hAnsi="仿宋" w:eastAsia="仿宋" w:cs="仿宋"/>
          <w:sz w:val="24"/>
        </w:rPr>
      </w:pPr>
    </w:p>
    <w:p>
      <w:pPr>
        <w:spacing w:line="440" w:lineRule="exact"/>
        <w:ind w:left="480" w:hanging="480" w:hangingChars="200"/>
        <w:rPr>
          <w:rFonts w:hint="eastAsia" w:ascii="仿宋" w:hAnsi="仿宋" w:eastAsia="仿宋" w:cs="仿宋"/>
          <w:sz w:val="24"/>
        </w:rPr>
      </w:pPr>
    </w:p>
    <w:p>
      <w:pPr>
        <w:spacing w:line="440" w:lineRule="exact"/>
        <w:ind w:left="480" w:hanging="480" w:hangingChars="200"/>
        <w:rPr>
          <w:rFonts w:hint="eastAsia" w:ascii="仿宋" w:hAnsi="仿宋" w:eastAsia="仿宋" w:cs="仿宋"/>
          <w:sz w:val="24"/>
        </w:rPr>
      </w:pPr>
    </w:p>
    <w:p>
      <w:pPr>
        <w:spacing w:line="440" w:lineRule="exact"/>
        <w:ind w:left="480" w:hanging="480" w:hangingChars="200"/>
        <w:rPr>
          <w:rFonts w:hint="eastAsia" w:ascii="仿宋" w:hAnsi="仿宋" w:eastAsia="仿宋" w:cs="仿宋"/>
          <w:sz w:val="24"/>
        </w:rPr>
      </w:pPr>
    </w:p>
    <w:p>
      <w:pPr>
        <w:spacing w:line="440" w:lineRule="exact"/>
        <w:ind w:left="480" w:hanging="480" w:hangingChars="200"/>
        <w:rPr>
          <w:rFonts w:hint="eastAsia" w:ascii="仿宋" w:hAnsi="仿宋" w:eastAsia="仿宋" w:cs="仿宋"/>
          <w:sz w:val="24"/>
        </w:rPr>
      </w:pPr>
    </w:p>
    <w:p>
      <w:pPr>
        <w:spacing w:line="440" w:lineRule="exact"/>
        <w:ind w:left="480" w:hanging="480" w:hanging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</w:t>
      </w:r>
      <w:r>
        <w:rPr>
          <w:rFonts w:hint="eastAsia" w:ascii="仿宋" w:hAnsi="仿宋" w:eastAsia="仿宋" w:cs="仿宋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</w:rPr>
        <w:t>本公报所列数据为快报数，最终核实数以当年《蔡甸统计年鉴》为准。</w:t>
      </w:r>
    </w:p>
    <w:p>
      <w:pPr>
        <w:spacing w:line="440" w:lineRule="exact"/>
        <w:ind w:firstLine="480" w:firstLineChars="200"/>
      </w:pPr>
      <w:r>
        <w:rPr>
          <w:rFonts w:hint="eastAsia" w:ascii="仿宋" w:hAnsi="仿宋" w:eastAsia="仿宋" w:cs="仿宋"/>
          <w:sz w:val="24"/>
        </w:rPr>
        <w:t>2</w:t>
      </w:r>
      <w:r>
        <w:rPr>
          <w:rFonts w:hint="eastAsia" w:ascii="仿宋" w:hAnsi="仿宋" w:eastAsia="仿宋" w:cs="仿宋"/>
          <w:sz w:val="24"/>
          <w:lang w:val="en-US" w:eastAsia="zh-CN"/>
        </w:rPr>
        <w:t>.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资料来源：本公报中就业、社会保障等相关数据来自区人社局；市场主体、专利等相关数据来自区市场监管局；农业经营主体、农业机械动力、脱贫攻坚、农村户（公）厕等相关数据来自区农业农村局；土地流转面积数据来自于区农经中心；保障性住房等相关数据来自区住建局；交通运输等相关数据来自区交通运输局；邮政通信等相关数据来自区邮政局、区电信公司、移动公司、联通公司；旅游、文化体育等相关数据来自区文旅局；对外经济等相关数据来自区商务局；财税等相关数据来自区财政局；金融等相关数据来自人行蔡甸支行；科技等相关数据来自区科经局；教育等相关数据来自区教育局；广播电视等相关数据来自于区融媒体中心；公共卫生等相关数据来自区卫健局；医疗保险、生育保险等相关数据来自区医保局；低保、社会服务等相关数据来自区民政局；</w:t>
      </w:r>
      <w:r>
        <w:rPr>
          <w:rFonts w:hint="eastAsia" w:ascii="仿宋" w:hAnsi="仿宋" w:eastAsia="仿宋" w:cs="仿宋"/>
          <w:sz w:val="24"/>
          <w:lang w:eastAsia="zh-CN"/>
        </w:rPr>
        <w:t>用电量来自区供电公司；</w:t>
      </w:r>
      <w:r>
        <w:rPr>
          <w:rFonts w:hint="eastAsia" w:ascii="仿宋" w:hAnsi="仿宋" w:eastAsia="仿宋" w:cs="仿宋"/>
          <w:sz w:val="24"/>
        </w:rPr>
        <w:t>供用水、污水处理等相关数据来自区水务和湖泊局；天然气、环卫等相关数据来自区城管执法局；</w:t>
      </w:r>
      <w:r>
        <w:rPr>
          <w:rFonts w:hint="eastAsia" w:ascii="仿宋" w:hAnsi="仿宋" w:eastAsia="仿宋" w:cs="仿宋"/>
          <w:sz w:val="24"/>
          <w:lang w:eastAsia="zh-CN"/>
        </w:rPr>
        <w:t>用电量相关数据来自区供电公司；</w:t>
      </w:r>
      <w:r>
        <w:rPr>
          <w:rFonts w:hint="eastAsia" w:ascii="仿宋" w:hAnsi="仿宋" w:eastAsia="仿宋" w:cs="仿宋"/>
          <w:sz w:val="24"/>
        </w:rPr>
        <w:t>生态环境等相关数据来自生态环境分局；其它数据均来自区统计局。</w:t>
      </w:r>
    </w:p>
    <w:sectPr>
      <w:headerReference r:id="rId3" w:type="default"/>
      <w:footerReference r:id="rId4" w:type="default"/>
      <w:footerReference r:id="rId5" w:type="even"/>
      <w:pgSz w:w="11907" w:h="16840"/>
      <w:pgMar w:top="1531" w:right="1531" w:bottom="1531" w:left="1531" w:header="851" w:footer="992" w:gutter="0"/>
      <w:cols w:space="720" w:num="1"/>
      <w:docGrid w:type="lines" w:linePitch="286" w:charSpace="65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Text Box 2" o:spid="_x0000_s4097" o:spt="202" type="#_x0000_t202" style="position:absolute;left:0pt;margin-top:0pt;height:10.35pt;width:9.0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Style w:val="7"/>
                  </w:rPr>
                </w:pPr>
                <w:r>
                  <w:rPr>
                    <w:rStyle w:val="7"/>
                  </w:rPr>
                  <w:fldChar w:fldCharType="begin"/>
                </w:r>
                <w:r>
                  <w:rPr>
                    <w:rStyle w:val="7"/>
                  </w:rPr>
                  <w:instrText xml:space="preserve">PAGE  </w:instrText>
                </w:r>
                <w:r>
                  <w:rPr>
                    <w:rStyle w:val="7"/>
                  </w:rPr>
                  <w:fldChar w:fldCharType="separate"/>
                </w:r>
                <w:r>
                  <w:rPr>
                    <w:rStyle w:val="7"/>
                  </w:rPr>
                  <w:t>1</w:t>
                </w:r>
                <w:r>
                  <w:rPr>
                    <w:rStyle w:val="7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Text Box 1" o:spid="_x0000_s4098" o:spt="202" type="#_x0000_t202" style="position:absolute;left:0pt;margin-top:0pt;height:10.35pt;width:2.2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Style w:val="7"/>
                  </w:rPr>
                </w:pPr>
                <w:r>
                  <w:rPr>
                    <w:rStyle w:val="7"/>
                  </w:rPr>
                  <w:fldChar w:fldCharType="begin"/>
                </w:r>
                <w:r>
                  <w:rPr>
                    <w:rStyle w:val="7"/>
                  </w:rPr>
                  <w:instrText xml:space="preserve">PAGE  </w:instrText>
                </w:r>
                <w:r>
                  <w:rPr>
                    <w:rStyle w:val="7"/>
                  </w:rPr>
                  <w:fldChar w:fldCharType="separate"/>
                </w:r>
                <w:r>
                  <w:rPr>
                    <w:rStyle w:val="7"/>
                  </w:rPr>
                  <w:t>6</w:t>
                </w:r>
                <w:r>
                  <w:rPr>
                    <w:rStyle w:val="7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91C"/>
    <w:rsid w:val="0001734F"/>
    <w:rsid w:val="00030540"/>
    <w:rsid w:val="00086B82"/>
    <w:rsid w:val="00097A9D"/>
    <w:rsid w:val="000C2AAB"/>
    <w:rsid w:val="000E0ECC"/>
    <w:rsid w:val="000F53FA"/>
    <w:rsid w:val="000F6520"/>
    <w:rsid w:val="000F7B9E"/>
    <w:rsid w:val="0011291C"/>
    <w:rsid w:val="00116255"/>
    <w:rsid w:val="00122F1C"/>
    <w:rsid w:val="00127BC8"/>
    <w:rsid w:val="0015204B"/>
    <w:rsid w:val="00163502"/>
    <w:rsid w:val="00164803"/>
    <w:rsid w:val="00165F50"/>
    <w:rsid w:val="00182663"/>
    <w:rsid w:val="00184C8B"/>
    <w:rsid w:val="001A6477"/>
    <w:rsid w:val="001A7564"/>
    <w:rsid w:val="001C7D6B"/>
    <w:rsid w:val="001D0891"/>
    <w:rsid w:val="001D790D"/>
    <w:rsid w:val="001E0FB5"/>
    <w:rsid w:val="001E1567"/>
    <w:rsid w:val="001F27FF"/>
    <w:rsid w:val="00200BBF"/>
    <w:rsid w:val="0022260C"/>
    <w:rsid w:val="00241BD5"/>
    <w:rsid w:val="0025583E"/>
    <w:rsid w:val="00262612"/>
    <w:rsid w:val="002746C3"/>
    <w:rsid w:val="0027623D"/>
    <w:rsid w:val="002A00C6"/>
    <w:rsid w:val="002E3529"/>
    <w:rsid w:val="002E6547"/>
    <w:rsid w:val="00302223"/>
    <w:rsid w:val="00303707"/>
    <w:rsid w:val="003052AA"/>
    <w:rsid w:val="00307F77"/>
    <w:rsid w:val="0031473B"/>
    <w:rsid w:val="00331327"/>
    <w:rsid w:val="0036486D"/>
    <w:rsid w:val="00364FAF"/>
    <w:rsid w:val="00375BB2"/>
    <w:rsid w:val="00395F8F"/>
    <w:rsid w:val="003A1611"/>
    <w:rsid w:val="003B0BB9"/>
    <w:rsid w:val="003C68B3"/>
    <w:rsid w:val="00401AA3"/>
    <w:rsid w:val="004071E0"/>
    <w:rsid w:val="00420F99"/>
    <w:rsid w:val="00422A74"/>
    <w:rsid w:val="00422F9F"/>
    <w:rsid w:val="00432380"/>
    <w:rsid w:val="004432F2"/>
    <w:rsid w:val="00461DD6"/>
    <w:rsid w:val="00472B7B"/>
    <w:rsid w:val="004A146E"/>
    <w:rsid w:val="004A199C"/>
    <w:rsid w:val="004A5F5C"/>
    <w:rsid w:val="004C523A"/>
    <w:rsid w:val="004C5A3E"/>
    <w:rsid w:val="004C7DC7"/>
    <w:rsid w:val="004E4FD4"/>
    <w:rsid w:val="004F64F4"/>
    <w:rsid w:val="00500B3B"/>
    <w:rsid w:val="0050794A"/>
    <w:rsid w:val="005102C1"/>
    <w:rsid w:val="005155EF"/>
    <w:rsid w:val="005250CE"/>
    <w:rsid w:val="005567AA"/>
    <w:rsid w:val="005606DC"/>
    <w:rsid w:val="005644B4"/>
    <w:rsid w:val="00591C6D"/>
    <w:rsid w:val="005A1406"/>
    <w:rsid w:val="005A675B"/>
    <w:rsid w:val="005C6E83"/>
    <w:rsid w:val="005D72AA"/>
    <w:rsid w:val="005E7860"/>
    <w:rsid w:val="00605491"/>
    <w:rsid w:val="00610253"/>
    <w:rsid w:val="0063302A"/>
    <w:rsid w:val="006424F6"/>
    <w:rsid w:val="00646A3A"/>
    <w:rsid w:val="00663F14"/>
    <w:rsid w:val="00667959"/>
    <w:rsid w:val="006A2677"/>
    <w:rsid w:val="006A415D"/>
    <w:rsid w:val="006C18B4"/>
    <w:rsid w:val="006D481E"/>
    <w:rsid w:val="006D637E"/>
    <w:rsid w:val="006E252C"/>
    <w:rsid w:val="007033FC"/>
    <w:rsid w:val="00720319"/>
    <w:rsid w:val="00732E1F"/>
    <w:rsid w:val="00741409"/>
    <w:rsid w:val="00745709"/>
    <w:rsid w:val="007672F9"/>
    <w:rsid w:val="00793CD3"/>
    <w:rsid w:val="00795812"/>
    <w:rsid w:val="007B0A8E"/>
    <w:rsid w:val="007C4C5F"/>
    <w:rsid w:val="007D2907"/>
    <w:rsid w:val="007D3A1A"/>
    <w:rsid w:val="00804BEF"/>
    <w:rsid w:val="008054C4"/>
    <w:rsid w:val="00810AF3"/>
    <w:rsid w:val="00822EC6"/>
    <w:rsid w:val="00834508"/>
    <w:rsid w:val="00842E55"/>
    <w:rsid w:val="00854192"/>
    <w:rsid w:val="0086173B"/>
    <w:rsid w:val="00867814"/>
    <w:rsid w:val="00874729"/>
    <w:rsid w:val="008868FA"/>
    <w:rsid w:val="008A31D4"/>
    <w:rsid w:val="008B3750"/>
    <w:rsid w:val="008B5F73"/>
    <w:rsid w:val="008B6A90"/>
    <w:rsid w:val="008C2C02"/>
    <w:rsid w:val="008C4412"/>
    <w:rsid w:val="008D387C"/>
    <w:rsid w:val="008E1C21"/>
    <w:rsid w:val="008F31AC"/>
    <w:rsid w:val="008F375A"/>
    <w:rsid w:val="009017AD"/>
    <w:rsid w:val="00903AD9"/>
    <w:rsid w:val="0091176C"/>
    <w:rsid w:val="009403F6"/>
    <w:rsid w:val="0094049E"/>
    <w:rsid w:val="00944F7A"/>
    <w:rsid w:val="00956FF3"/>
    <w:rsid w:val="009612E4"/>
    <w:rsid w:val="00964674"/>
    <w:rsid w:val="0098521C"/>
    <w:rsid w:val="00991902"/>
    <w:rsid w:val="009B2D50"/>
    <w:rsid w:val="009C64AD"/>
    <w:rsid w:val="009E45A4"/>
    <w:rsid w:val="009F15F1"/>
    <w:rsid w:val="00A036F4"/>
    <w:rsid w:val="00A1293E"/>
    <w:rsid w:val="00A228F0"/>
    <w:rsid w:val="00A25029"/>
    <w:rsid w:val="00A32ABB"/>
    <w:rsid w:val="00A3559B"/>
    <w:rsid w:val="00A35681"/>
    <w:rsid w:val="00A47524"/>
    <w:rsid w:val="00A47BB2"/>
    <w:rsid w:val="00A532A8"/>
    <w:rsid w:val="00A548FA"/>
    <w:rsid w:val="00A55ACC"/>
    <w:rsid w:val="00A575C1"/>
    <w:rsid w:val="00A611D8"/>
    <w:rsid w:val="00A64951"/>
    <w:rsid w:val="00A80F30"/>
    <w:rsid w:val="00A81F11"/>
    <w:rsid w:val="00A82AAA"/>
    <w:rsid w:val="00A92689"/>
    <w:rsid w:val="00AA1987"/>
    <w:rsid w:val="00AB5A52"/>
    <w:rsid w:val="00AC447A"/>
    <w:rsid w:val="00AC568B"/>
    <w:rsid w:val="00AC6752"/>
    <w:rsid w:val="00AE0DF2"/>
    <w:rsid w:val="00AE4350"/>
    <w:rsid w:val="00AF5890"/>
    <w:rsid w:val="00B01704"/>
    <w:rsid w:val="00B063B9"/>
    <w:rsid w:val="00B42353"/>
    <w:rsid w:val="00B621C6"/>
    <w:rsid w:val="00B6557A"/>
    <w:rsid w:val="00B92C9B"/>
    <w:rsid w:val="00BC5D6E"/>
    <w:rsid w:val="00BD5E19"/>
    <w:rsid w:val="00BF6C01"/>
    <w:rsid w:val="00BF7122"/>
    <w:rsid w:val="00C00F91"/>
    <w:rsid w:val="00C061FF"/>
    <w:rsid w:val="00C06864"/>
    <w:rsid w:val="00C25C39"/>
    <w:rsid w:val="00C3695A"/>
    <w:rsid w:val="00C45E3E"/>
    <w:rsid w:val="00C6296C"/>
    <w:rsid w:val="00C81E94"/>
    <w:rsid w:val="00C90BE8"/>
    <w:rsid w:val="00C95EA7"/>
    <w:rsid w:val="00CD2433"/>
    <w:rsid w:val="00D02C59"/>
    <w:rsid w:val="00D1498D"/>
    <w:rsid w:val="00D31499"/>
    <w:rsid w:val="00D31C49"/>
    <w:rsid w:val="00D3309E"/>
    <w:rsid w:val="00D40D62"/>
    <w:rsid w:val="00D41FB6"/>
    <w:rsid w:val="00D4208C"/>
    <w:rsid w:val="00D513CC"/>
    <w:rsid w:val="00D519A3"/>
    <w:rsid w:val="00D803CF"/>
    <w:rsid w:val="00D947D1"/>
    <w:rsid w:val="00D97A68"/>
    <w:rsid w:val="00DB0B08"/>
    <w:rsid w:val="00DB2EF7"/>
    <w:rsid w:val="00DB4372"/>
    <w:rsid w:val="00DB67CC"/>
    <w:rsid w:val="00DB6A72"/>
    <w:rsid w:val="00DD2B98"/>
    <w:rsid w:val="00DD39E8"/>
    <w:rsid w:val="00DF2D0B"/>
    <w:rsid w:val="00E1697E"/>
    <w:rsid w:val="00E210C0"/>
    <w:rsid w:val="00E21915"/>
    <w:rsid w:val="00E26A29"/>
    <w:rsid w:val="00E31B6A"/>
    <w:rsid w:val="00E3273F"/>
    <w:rsid w:val="00E51B59"/>
    <w:rsid w:val="00E55446"/>
    <w:rsid w:val="00E61485"/>
    <w:rsid w:val="00E633BF"/>
    <w:rsid w:val="00E816A2"/>
    <w:rsid w:val="00E8227E"/>
    <w:rsid w:val="00E82688"/>
    <w:rsid w:val="00EA38A6"/>
    <w:rsid w:val="00EA5359"/>
    <w:rsid w:val="00EF7CD9"/>
    <w:rsid w:val="00F006ED"/>
    <w:rsid w:val="00F029DB"/>
    <w:rsid w:val="00F04362"/>
    <w:rsid w:val="00F1543C"/>
    <w:rsid w:val="00F25195"/>
    <w:rsid w:val="00F51421"/>
    <w:rsid w:val="00F77E2A"/>
    <w:rsid w:val="00F8305D"/>
    <w:rsid w:val="00F93107"/>
    <w:rsid w:val="00FA1C81"/>
    <w:rsid w:val="00FB2587"/>
    <w:rsid w:val="00FB4A31"/>
    <w:rsid w:val="00FB7149"/>
    <w:rsid w:val="00FC3267"/>
    <w:rsid w:val="00FD135E"/>
    <w:rsid w:val="00FE2F02"/>
    <w:rsid w:val="0156680A"/>
    <w:rsid w:val="01D97C75"/>
    <w:rsid w:val="025E45D4"/>
    <w:rsid w:val="02E04395"/>
    <w:rsid w:val="02E077F7"/>
    <w:rsid w:val="03580068"/>
    <w:rsid w:val="0567710B"/>
    <w:rsid w:val="05FD46B7"/>
    <w:rsid w:val="06245BC4"/>
    <w:rsid w:val="06D33537"/>
    <w:rsid w:val="075F2FBD"/>
    <w:rsid w:val="082F104B"/>
    <w:rsid w:val="083056DD"/>
    <w:rsid w:val="08E07D08"/>
    <w:rsid w:val="09221B52"/>
    <w:rsid w:val="09FD2599"/>
    <w:rsid w:val="0A560A6E"/>
    <w:rsid w:val="0A6C5FCB"/>
    <w:rsid w:val="0A876207"/>
    <w:rsid w:val="0AC15E66"/>
    <w:rsid w:val="0B136E4C"/>
    <w:rsid w:val="0B8330E4"/>
    <w:rsid w:val="0BA223E7"/>
    <w:rsid w:val="0CAA5073"/>
    <w:rsid w:val="0CB2647C"/>
    <w:rsid w:val="0CBC170B"/>
    <w:rsid w:val="0F3A02FE"/>
    <w:rsid w:val="0F554EFB"/>
    <w:rsid w:val="0F75705E"/>
    <w:rsid w:val="0F8F6429"/>
    <w:rsid w:val="0FB8208E"/>
    <w:rsid w:val="110401F1"/>
    <w:rsid w:val="1134315E"/>
    <w:rsid w:val="122576D9"/>
    <w:rsid w:val="128E2E52"/>
    <w:rsid w:val="13246A92"/>
    <w:rsid w:val="138D18C1"/>
    <w:rsid w:val="13AF5EDC"/>
    <w:rsid w:val="13E9548F"/>
    <w:rsid w:val="15AD354B"/>
    <w:rsid w:val="15B91E83"/>
    <w:rsid w:val="1736534F"/>
    <w:rsid w:val="176743BD"/>
    <w:rsid w:val="18E61A1B"/>
    <w:rsid w:val="1A5E54CC"/>
    <w:rsid w:val="1AC72C44"/>
    <w:rsid w:val="1AD17112"/>
    <w:rsid w:val="1B421603"/>
    <w:rsid w:val="1B8E1BA4"/>
    <w:rsid w:val="1C421550"/>
    <w:rsid w:val="1C9325FA"/>
    <w:rsid w:val="1CD5308B"/>
    <w:rsid w:val="1D23330D"/>
    <w:rsid w:val="1D8013FD"/>
    <w:rsid w:val="1E930B7A"/>
    <w:rsid w:val="1F785257"/>
    <w:rsid w:val="20416E52"/>
    <w:rsid w:val="204D1B46"/>
    <w:rsid w:val="2053721C"/>
    <w:rsid w:val="207364CA"/>
    <w:rsid w:val="21064DFF"/>
    <w:rsid w:val="213E3281"/>
    <w:rsid w:val="23863714"/>
    <w:rsid w:val="24047AC8"/>
    <w:rsid w:val="24E37481"/>
    <w:rsid w:val="26327BAC"/>
    <w:rsid w:val="26542623"/>
    <w:rsid w:val="26C658C2"/>
    <w:rsid w:val="26E2045A"/>
    <w:rsid w:val="271C4C18"/>
    <w:rsid w:val="27494040"/>
    <w:rsid w:val="275A6090"/>
    <w:rsid w:val="27A21561"/>
    <w:rsid w:val="27C82F09"/>
    <w:rsid w:val="27EE2A74"/>
    <w:rsid w:val="281824EF"/>
    <w:rsid w:val="287C4791"/>
    <w:rsid w:val="28FF046F"/>
    <w:rsid w:val="29001FD1"/>
    <w:rsid w:val="290440D8"/>
    <w:rsid w:val="2B0424E3"/>
    <w:rsid w:val="2D500191"/>
    <w:rsid w:val="2E056B37"/>
    <w:rsid w:val="2E3537D2"/>
    <w:rsid w:val="2E457F02"/>
    <w:rsid w:val="2E871EFF"/>
    <w:rsid w:val="2EAB6B10"/>
    <w:rsid w:val="2F4E3CEB"/>
    <w:rsid w:val="2F7829CE"/>
    <w:rsid w:val="2FA6303B"/>
    <w:rsid w:val="2FF328E0"/>
    <w:rsid w:val="309738FA"/>
    <w:rsid w:val="30F026A2"/>
    <w:rsid w:val="31287C8B"/>
    <w:rsid w:val="31AD06D7"/>
    <w:rsid w:val="31BF7961"/>
    <w:rsid w:val="31E958E2"/>
    <w:rsid w:val="31F160BD"/>
    <w:rsid w:val="32DE6629"/>
    <w:rsid w:val="347A1A69"/>
    <w:rsid w:val="34800E9B"/>
    <w:rsid w:val="36242903"/>
    <w:rsid w:val="368159D7"/>
    <w:rsid w:val="368547D5"/>
    <w:rsid w:val="369F1124"/>
    <w:rsid w:val="36E06046"/>
    <w:rsid w:val="377B41AF"/>
    <w:rsid w:val="37F33B7A"/>
    <w:rsid w:val="383F1CF2"/>
    <w:rsid w:val="38F615E4"/>
    <w:rsid w:val="396318AD"/>
    <w:rsid w:val="39FB0FDB"/>
    <w:rsid w:val="3AB63996"/>
    <w:rsid w:val="3B2374B2"/>
    <w:rsid w:val="3B747E71"/>
    <w:rsid w:val="3BBD34E1"/>
    <w:rsid w:val="3BD64F66"/>
    <w:rsid w:val="3CA43E5C"/>
    <w:rsid w:val="3D0577B5"/>
    <w:rsid w:val="3DB81F73"/>
    <w:rsid w:val="3EFD21D9"/>
    <w:rsid w:val="3F7C470E"/>
    <w:rsid w:val="40F32A11"/>
    <w:rsid w:val="41707660"/>
    <w:rsid w:val="417F35A0"/>
    <w:rsid w:val="4198730F"/>
    <w:rsid w:val="41AC44C7"/>
    <w:rsid w:val="41D12B42"/>
    <w:rsid w:val="42260EA2"/>
    <w:rsid w:val="437E5424"/>
    <w:rsid w:val="438B27B5"/>
    <w:rsid w:val="43A649B4"/>
    <w:rsid w:val="446A2417"/>
    <w:rsid w:val="449C6E58"/>
    <w:rsid w:val="481C565E"/>
    <w:rsid w:val="485306D8"/>
    <w:rsid w:val="4904108C"/>
    <w:rsid w:val="4A2274E4"/>
    <w:rsid w:val="4A244520"/>
    <w:rsid w:val="4A3F50C3"/>
    <w:rsid w:val="4A565489"/>
    <w:rsid w:val="4A69389D"/>
    <w:rsid w:val="4A7060FF"/>
    <w:rsid w:val="4A7F3FDF"/>
    <w:rsid w:val="4ABA42E9"/>
    <w:rsid w:val="4AF07B1A"/>
    <w:rsid w:val="4C71175A"/>
    <w:rsid w:val="4D8C09BB"/>
    <w:rsid w:val="4DD252B5"/>
    <w:rsid w:val="4F4925BC"/>
    <w:rsid w:val="51B77F8C"/>
    <w:rsid w:val="521C7121"/>
    <w:rsid w:val="53A764D0"/>
    <w:rsid w:val="555313D1"/>
    <w:rsid w:val="566C5A2C"/>
    <w:rsid w:val="566F779A"/>
    <w:rsid w:val="568C2CE2"/>
    <w:rsid w:val="56C85B6D"/>
    <w:rsid w:val="56CD1C29"/>
    <w:rsid w:val="570D5DEE"/>
    <w:rsid w:val="574D05A9"/>
    <w:rsid w:val="579A71DC"/>
    <w:rsid w:val="58067D23"/>
    <w:rsid w:val="582033C8"/>
    <w:rsid w:val="58EA400F"/>
    <w:rsid w:val="59226AC4"/>
    <w:rsid w:val="5A0709DC"/>
    <w:rsid w:val="5AB91E0A"/>
    <w:rsid w:val="5CA72CB1"/>
    <w:rsid w:val="5CF650C1"/>
    <w:rsid w:val="5D0956A2"/>
    <w:rsid w:val="5D766309"/>
    <w:rsid w:val="5D9E6FA8"/>
    <w:rsid w:val="5E020F87"/>
    <w:rsid w:val="5E7813CF"/>
    <w:rsid w:val="5ED23DAA"/>
    <w:rsid w:val="5F4B459E"/>
    <w:rsid w:val="5F540745"/>
    <w:rsid w:val="5F803FE7"/>
    <w:rsid w:val="5F94329F"/>
    <w:rsid w:val="5FA5066A"/>
    <w:rsid w:val="5FBC67F5"/>
    <w:rsid w:val="60FB177E"/>
    <w:rsid w:val="61C36653"/>
    <w:rsid w:val="620B0343"/>
    <w:rsid w:val="621E0B31"/>
    <w:rsid w:val="6280747C"/>
    <w:rsid w:val="62E358B2"/>
    <w:rsid w:val="6348050A"/>
    <w:rsid w:val="63636FEB"/>
    <w:rsid w:val="63672253"/>
    <w:rsid w:val="639C157F"/>
    <w:rsid w:val="63D752E3"/>
    <w:rsid w:val="64DF5093"/>
    <w:rsid w:val="65912D0B"/>
    <w:rsid w:val="66534AD5"/>
    <w:rsid w:val="673A6C9A"/>
    <w:rsid w:val="678804D3"/>
    <w:rsid w:val="67B72909"/>
    <w:rsid w:val="68996DD9"/>
    <w:rsid w:val="68D04C79"/>
    <w:rsid w:val="69436AE1"/>
    <w:rsid w:val="69484573"/>
    <w:rsid w:val="69AD1B37"/>
    <w:rsid w:val="6A4E0BE4"/>
    <w:rsid w:val="6B0E25B0"/>
    <w:rsid w:val="6D45696B"/>
    <w:rsid w:val="6DAE786A"/>
    <w:rsid w:val="6DBA1156"/>
    <w:rsid w:val="6F160FD0"/>
    <w:rsid w:val="6F6C7F4C"/>
    <w:rsid w:val="71BB05C1"/>
    <w:rsid w:val="72023E1C"/>
    <w:rsid w:val="72044DC6"/>
    <w:rsid w:val="722B743C"/>
    <w:rsid w:val="72FD2206"/>
    <w:rsid w:val="73CB4172"/>
    <w:rsid w:val="74664A28"/>
    <w:rsid w:val="74C01A5C"/>
    <w:rsid w:val="751276B7"/>
    <w:rsid w:val="753F1B69"/>
    <w:rsid w:val="76193058"/>
    <w:rsid w:val="764272A6"/>
    <w:rsid w:val="77E90274"/>
    <w:rsid w:val="77ED0DBA"/>
    <w:rsid w:val="78174A30"/>
    <w:rsid w:val="78C35557"/>
    <w:rsid w:val="793B0802"/>
    <w:rsid w:val="794B0FE7"/>
    <w:rsid w:val="797747C5"/>
    <w:rsid w:val="7A4567F9"/>
    <w:rsid w:val="7AE904D7"/>
    <w:rsid w:val="7AED7929"/>
    <w:rsid w:val="7C2F74F2"/>
    <w:rsid w:val="7C4D6B14"/>
    <w:rsid w:val="7C7B3991"/>
    <w:rsid w:val="7CA7307E"/>
    <w:rsid w:val="7D8E091D"/>
    <w:rsid w:val="7D9D648D"/>
    <w:rsid w:val="7DE2271F"/>
    <w:rsid w:val="7F062DB8"/>
    <w:rsid w:val="7F637BED"/>
    <w:rsid w:val="7F6456EF"/>
    <w:rsid w:val="7FAD4C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070BCE-7840-4D65-8C08-D0DF00AA2C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972</Words>
  <Characters>5542</Characters>
  <Lines>46</Lines>
  <Paragraphs>13</Paragraphs>
  <TotalTime>76</TotalTime>
  <ScaleCrop>false</ScaleCrop>
  <LinksUpToDate>false</LinksUpToDate>
  <CharactersWithSpaces>6501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2020-04-02T06:35:00Z</dcterms:created>
  <dc:creator>PC</dc:creator>
  <cp:lastModifiedBy>凡凡</cp:lastModifiedBy>
  <cp:lastPrinted>2022-04-02T00:44:00Z</cp:lastPrinted>
  <dcterms:modified xsi:type="dcterms:W3CDTF">2022-04-19T07:05:25Z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FC4FFCCE88874867BA05C014B1610E3C</vt:lpwstr>
  </property>
</Properties>
</file>