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CC6B89">
      <w:pPr>
        <w:pStyle w:val="2"/>
        <w:snapToGrid w:val="0"/>
        <w:spacing w:before="360" w:after="240" w:line="640" w:lineRule="atLeast"/>
        <w:jc w:val="center"/>
        <w:rPr>
          <w:rFonts w:ascii="黑体" w:eastAsia="黑体"/>
          <w:b w:val="0"/>
          <w:szCs w:val="44"/>
        </w:rPr>
      </w:pPr>
      <w:r>
        <w:rPr>
          <w:rFonts w:hint="eastAsia" w:ascii="黑体" w:eastAsia="黑体"/>
          <w:b w:val="0"/>
          <w:szCs w:val="44"/>
        </w:rPr>
        <w:t>部门项目申报表(含绩效目标)</w:t>
      </w:r>
    </w:p>
    <w:p w14:paraId="53D2C0AA">
      <w:r>
        <w:rPr>
          <w:rFonts w:hint="eastAsia"/>
        </w:rPr>
        <w:t xml:space="preserve"> </w:t>
      </w:r>
      <w:r>
        <w:rPr>
          <w:rFonts w:hint="eastAsia" w:ascii="仿宋_GB2312" w:hAnsi="仿宋_GB2312" w:eastAsia="仿宋_GB2312" w:cs="仿宋_GB2312"/>
          <w:szCs w:val="21"/>
        </w:rPr>
        <w:t xml:space="preserve">申报日期： </w:t>
      </w:r>
      <w:r>
        <w:rPr>
          <w:rFonts w:hint="eastAsia"/>
        </w:rPr>
        <w:t xml:space="preserve">                                                          </w:t>
      </w:r>
      <w:r>
        <w:rPr>
          <w:rFonts w:hint="eastAsia" w:ascii="仿宋_GB2312" w:hAnsi="仿宋_GB2312" w:eastAsia="仿宋_GB2312" w:cs="仿宋_GB2312"/>
        </w:rPr>
        <w:t>单位：万元</w:t>
      </w:r>
    </w:p>
    <w:tbl>
      <w:tblPr>
        <w:tblStyle w:val="6"/>
        <w:tblW w:w="8844" w:type="dxa"/>
        <w:tblInd w:w="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5"/>
        <w:gridCol w:w="1145"/>
        <w:gridCol w:w="977"/>
        <w:gridCol w:w="169"/>
        <w:gridCol w:w="952"/>
        <w:gridCol w:w="1005"/>
        <w:gridCol w:w="141"/>
        <w:gridCol w:w="568"/>
        <w:gridCol w:w="578"/>
        <w:gridCol w:w="19"/>
        <w:gridCol w:w="1130"/>
        <w:gridCol w:w="1015"/>
      </w:tblGrid>
      <w:tr w14:paraId="1A4973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BFB4F6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18E65E">
            <w:pPr>
              <w:widowControl/>
              <w:snapToGrid w:val="0"/>
              <w:jc w:val="center"/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禁捕退补、非法采砂和水上安全经费　</w:t>
            </w:r>
          </w:p>
        </w:tc>
        <w:tc>
          <w:tcPr>
            <w:tcW w:w="229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EE03FA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项目编码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45ABFA">
            <w:pPr>
              <w:widowControl/>
              <w:snapToGrid w:val="0"/>
              <w:jc w:val="center"/>
              <w:rPr>
                <w:rFonts w:hint="default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</w:rPr>
              <w:t>4201142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064T00000010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 w14:paraId="17ECFA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8616CF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项目主管部门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67F9CC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蔡甸区交通运输局　</w:t>
            </w:r>
          </w:p>
        </w:tc>
        <w:tc>
          <w:tcPr>
            <w:tcW w:w="229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5819A7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项目执行单位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243479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蔡甸区交通运输综合执法大队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5F501B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B9ADA4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项目负责人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484EFC">
            <w:pPr>
              <w:widowControl/>
              <w:snapToGrid w:val="0"/>
              <w:jc w:val="center"/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徐文斌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9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8C5A57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FB5F69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13100655988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3B8236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790447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项目属性</w:t>
            </w:r>
          </w:p>
        </w:tc>
        <w:tc>
          <w:tcPr>
            <w:tcW w:w="6554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2A7566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持续性项目</w:t>
            </w:r>
          </w:p>
        </w:tc>
      </w:tr>
      <w:tr w14:paraId="41030E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8F98F5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支出项目类别</w:t>
            </w:r>
          </w:p>
        </w:tc>
        <w:tc>
          <w:tcPr>
            <w:tcW w:w="6554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5F09D7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特定目标类</w:t>
            </w:r>
          </w:p>
        </w:tc>
      </w:tr>
      <w:tr w14:paraId="5AA62C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CA36AB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起始年度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A8409C">
            <w:pPr>
              <w:widowControl/>
              <w:snapToGrid w:val="0"/>
              <w:jc w:val="center"/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202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29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29CAF1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终止年度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66A0EC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15213F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E70DA6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项目立项依据</w:t>
            </w:r>
          </w:p>
        </w:tc>
        <w:tc>
          <w:tcPr>
            <w:tcW w:w="6554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A26FDE">
            <w:pPr>
              <w:widowControl/>
              <w:snapToGrid w:val="0"/>
              <w:jc w:val="left"/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根据武汉市人民政府下发《武汉市河道采砂专项整治活动工作方案》，为了加强河道采砂管理保障河势稳定和防洪、通航安全及加强长江流域重点水域禁捕工作落实，协助开展清理取缔涉渔‘三无船舶’，加强水上安全监督，安全检查安全设施配备。</w:t>
            </w:r>
          </w:p>
        </w:tc>
      </w:tr>
      <w:tr w14:paraId="5DB5FC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D5CB4A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项目实施方案</w:t>
            </w:r>
          </w:p>
        </w:tc>
        <w:tc>
          <w:tcPr>
            <w:tcW w:w="6554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6208D5">
            <w:pPr>
              <w:widowControl/>
              <w:snapToGrid w:val="0"/>
              <w:jc w:val="left"/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为了加强河道采砂管理保障河势稳定和防洪、通航安全及加强长江流域重点水域禁捕工作落实，协助开展清理取缔涉渔‘三无船舶’，加强水上安全监督，安全检查安全设施配备　</w:t>
            </w:r>
          </w:p>
        </w:tc>
      </w:tr>
      <w:tr w14:paraId="44371A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06D307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项目总预算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CCE232">
            <w:pPr>
              <w:widowControl/>
              <w:snapToGrid w:val="0"/>
              <w:jc w:val="righ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9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FC8A0E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项目当年预算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8E880A">
            <w:pPr>
              <w:widowControl/>
              <w:snapToGrid w:val="0"/>
              <w:jc w:val="right"/>
              <w:rPr>
                <w:rFonts w:hint="default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</w:tr>
      <w:tr w14:paraId="7F209B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26FE06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项目前两年预算及当年预算变动情况</w:t>
            </w:r>
          </w:p>
        </w:tc>
        <w:tc>
          <w:tcPr>
            <w:tcW w:w="6554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51CEFD">
            <w:pPr>
              <w:widowControl/>
              <w:snapToGrid w:val="0"/>
              <w:jc w:val="left"/>
              <w:rPr>
                <w:rFonts w:hint="default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202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年预算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万元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,2025年预算6万元，2026年预算申报6万元。</w:t>
            </w:r>
          </w:p>
        </w:tc>
      </w:tr>
      <w:tr w14:paraId="0CA00D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0" w:type="dxa"/>
            <w:gridSpan w:val="2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59AD45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项目资金来源</w:t>
            </w:r>
          </w:p>
        </w:tc>
        <w:tc>
          <w:tcPr>
            <w:tcW w:w="43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8CCB61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来源项目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071DB2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金额</w:t>
            </w:r>
          </w:p>
        </w:tc>
      </w:tr>
      <w:tr w14:paraId="46B615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0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93386D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183E44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合计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C6A6E5">
            <w:pPr>
              <w:widowControl/>
              <w:snapToGrid w:val="0"/>
              <w:jc w:val="right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48F9E0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0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90F8CF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00AA0A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一般公共预算财政拨款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205B97">
            <w:pPr>
              <w:widowControl/>
              <w:snapToGrid w:val="0"/>
              <w:jc w:val="right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41E1B3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0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7FD65B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7ABBFC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 xml:space="preserve">  其中：申请当年预算拨款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439273">
            <w:pPr>
              <w:widowControl/>
              <w:snapToGrid w:val="0"/>
              <w:jc w:val="right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2BD8C6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0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6546E3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0BDA2A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政府性基金预算财政拨款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46048E">
            <w:pPr>
              <w:widowControl/>
              <w:snapToGrid w:val="0"/>
              <w:jc w:val="right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7508A2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0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3C63EF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D69F28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财政专户管理资金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C9E6EF">
            <w:pPr>
              <w:widowControl/>
              <w:snapToGrid w:val="0"/>
              <w:jc w:val="righ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</w:tr>
      <w:tr w14:paraId="283865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0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F69254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31984A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单位资金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7FD674">
            <w:pPr>
              <w:widowControl/>
              <w:snapToGrid w:val="0"/>
              <w:jc w:val="righ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6BEFE4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0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72DBE0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87F1B2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 xml:space="preserve">  其中：使用上年度财政拨款结转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F60DD9">
            <w:pPr>
              <w:widowControl/>
              <w:snapToGrid w:val="0"/>
              <w:jc w:val="right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448711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844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0FFE3D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  <w:t>项目支出明细测算</w:t>
            </w:r>
          </w:p>
        </w:tc>
      </w:tr>
      <w:tr w14:paraId="2201D1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EB589C">
            <w:pPr>
              <w:widowControl/>
              <w:snapToGrid w:val="0"/>
              <w:jc w:val="center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项目活动</w:t>
            </w:r>
          </w:p>
        </w:tc>
        <w:tc>
          <w:tcPr>
            <w:tcW w:w="11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661C88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活动内容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表述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63633C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支出经济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分类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075201">
            <w:pPr>
              <w:widowControl/>
              <w:snapToGrid w:val="0"/>
              <w:jc w:val="center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金额</w:t>
            </w:r>
          </w:p>
        </w:tc>
        <w:tc>
          <w:tcPr>
            <w:tcW w:w="344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841B20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测算依据及说明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A6B580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14:paraId="192811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594706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禁捕退补、非法采砂和水上安全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3D79A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宣传费用、联合执法费用、聘请驾驶员费用　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88944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其他商品服务支出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E631EB">
            <w:pPr>
              <w:widowControl/>
              <w:snapToGrid w:val="0"/>
              <w:jc w:val="righ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44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8350C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宣传横幅100元/条16条</w:t>
            </w:r>
          </w:p>
          <w:p w14:paraId="048AB91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联合执法费用500元/次*96人次</w:t>
            </w:r>
          </w:p>
          <w:p w14:paraId="102724B6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驾驶员工资2500元/月*12月</w:t>
            </w:r>
          </w:p>
          <w:p w14:paraId="601B9417">
            <w:pPr>
              <w:widowControl/>
              <w:snapToGrid w:val="0"/>
              <w:jc w:val="left"/>
              <w:rPr>
                <w:rFonts w:hint="default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巡逻他耗油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2000元/月污水处理12000元/年；趸船、艇维修维护50000/年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DD1F6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6204F0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EB2EA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F3FB7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A8B5E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EF4732">
            <w:pPr>
              <w:widowControl/>
              <w:snapToGrid w:val="0"/>
              <w:jc w:val="righ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44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80AABA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98113F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735DA4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EA492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989A3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43306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6FF7A6">
            <w:pPr>
              <w:widowControl/>
              <w:snapToGrid w:val="0"/>
              <w:jc w:val="righ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44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B582E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1EAB3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00DC76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AC226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FD4E5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83E50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4AED1C">
            <w:pPr>
              <w:widowControl/>
              <w:snapToGrid w:val="0"/>
              <w:jc w:val="righ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44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B3C24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68B04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4A6970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844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497E91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  <w:t>项目采购</w:t>
            </w:r>
          </w:p>
        </w:tc>
      </w:tr>
      <w:tr w14:paraId="079C54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D38157">
            <w:pPr>
              <w:widowControl/>
              <w:snapToGrid w:val="0"/>
              <w:jc w:val="center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品名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B664B6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4456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D7AF95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金额</w:t>
            </w:r>
          </w:p>
        </w:tc>
      </w:tr>
      <w:tr w14:paraId="1EE9CF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7E436D">
            <w:pPr>
              <w:widowControl/>
              <w:snapToGrid w:val="0"/>
              <w:jc w:val="left"/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A2406A">
            <w:pPr>
              <w:widowControl/>
              <w:snapToGrid w:val="0"/>
              <w:jc w:val="center"/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456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9FF5FE">
            <w:pPr>
              <w:widowControl/>
              <w:snapToGrid w:val="0"/>
              <w:jc w:val="center"/>
              <w:rPr>
                <w:rFonts w:hint="default" w:ascii="仿宋_GB2312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300D2D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2B52F8CB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0A6DE6CD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56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01E59C64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376537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844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B3A1E6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  <w:t>项目绩效总目标</w:t>
            </w:r>
          </w:p>
        </w:tc>
      </w:tr>
      <w:tr w14:paraId="4C18FF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9D9A07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6554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B8EF0E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目标说明</w:t>
            </w:r>
          </w:p>
        </w:tc>
      </w:tr>
      <w:tr w14:paraId="5D787A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8395FC">
            <w:pPr>
              <w:widowControl/>
              <w:snapToGrid w:val="0"/>
              <w:jc w:val="left"/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数量目标</w:t>
            </w:r>
          </w:p>
        </w:tc>
        <w:tc>
          <w:tcPr>
            <w:tcW w:w="6554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9DF57C">
            <w:pPr>
              <w:widowControl/>
              <w:snapToGrid w:val="0"/>
              <w:jc w:val="left"/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配合执法队完成联合执法率</w:t>
            </w:r>
          </w:p>
        </w:tc>
      </w:tr>
      <w:tr w14:paraId="672E9B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0C6EFE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质量指标</w:t>
            </w:r>
          </w:p>
        </w:tc>
        <w:tc>
          <w:tcPr>
            <w:tcW w:w="6554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51D754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依法依规严格执法率</w:t>
            </w:r>
          </w:p>
        </w:tc>
      </w:tr>
      <w:tr w14:paraId="564560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646B82">
            <w:pPr>
              <w:widowControl/>
              <w:snapToGrid w:val="0"/>
              <w:ind w:firstLine="240" w:firstLineChars="10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时效指标</w:t>
            </w:r>
          </w:p>
        </w:tc>
        <w:tc>
          <w:tcPr>
            <w:tcW w:w="6554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2F3114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严厉打击“三无”船舶非法捕捞率</w:t>
            </w:r>
          </w:p>
        </w:tc>
      </w:tr>
      <w:tr w14:paraId="6B0B31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40F044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成本指标</w:t>
            </w:r>
          </w:p>
        </w:tc>
        <w:tc>
          <w:tcPr>
            <w:tcW w:w="6554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8773BC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控制执法艇油耗及相关费用</w:t>
            </w:r>
          </w:p>
        </w:tc>
      </w:tr>
      <w:tr w14:paraId="70D8AB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8844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92FD60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  <w:t>长期绩效目标表</w:t>
            </w:r>
          </w:p>
        </w:tc>
      </w:tr>
      <w:tr w14:paraId="4AE4EB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0DDEA2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目标名称</w:t>
            </w:r>
          </w:p>
        </w:tc>
        <w:tc>
          <w:tcPr>
            <w:tcW w:w="11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ADDC7D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16208C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D76ADE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FFBD0F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指标值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C664CD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指标值确定依据</w:t>
            </w:r>
          </w:p>
        </w:tc>
      </w:tr>
      <w:tr w14:paraId="2868B1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5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3388F7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禁捕退补、非法采砂和水上安全经费</w:t>
            </w:r>
          </w:p>
        </w:tc>
        <w:tc>
          <w:tcPr>
            <w:tcW w:w="1145" w:type="dxa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531C4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 w:bidi="ar-SA"/>
              </w:rPr>
              <w:t>成本指标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0A170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 w:bidi="ar-SA"/>
              </w:rPr>
              <w:t>经济成本指标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989F5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里程完成率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EB1688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 w:bidi="ar-SA"/>
              </w:rPr>
              <w:t>100%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D5289C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1F0EA2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B518C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8DEDD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 w:bidi="ar-SA"/>
              </w:rPr>
              <w:t>产出指标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BB3DE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 w:bidi="ar-SA"/>
              </w:rPr>
              <w:t>质量指标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C836F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t>完工验收合格率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372C36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 w:bidi="ar-SA"/>
              </w:rPr>
              <w:t>100%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22277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7019E4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BAA9E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9D58F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效益指标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2C59E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 w:bidi="ar-SA"/>
              </w:rPr>
              <w:t>经济效益指标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8BBCF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按期完成率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42DDE9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 w:bidi="ar-SA"/>
              </w:rPr>
              <w:t>100%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E7E52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44BA06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55200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4790D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  <w:p w14:paraId="5999C91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 w:bidi="ar-SA"/>
              </w:rPr>
              <w:t>满意度指标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A17AC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  <w:p w14:paraId="38284D1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 w:bidi="ar-SA"/>
              </w:rPr>
              <w:t>满意度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C00DC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成本节约率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48DE82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 w:bidi="ar-SA"/>
              </w:rPr>
              <w:t>100%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C1D77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50482D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B208E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321710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 w:bidi="ar-SA"/>
              </w:rPr>
              <w:t>成本指</w:t>
            </w:r>
            <w:bookmarkStart w:id="0" w:name="_GoBack"/>
            <w:bookmarkEnd w:id="0"/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 w:bidi="ar-SA"/>
              </w:rPr>
              <w:t>标</w:t>
            </w:r>
          </w:p>
        </w:tc>
        <w:tc>
          <w:tcPr>
            <w:tcW w:w="1146" w:type="dxa"/>
            <w:gridSpan w:val="2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A05EB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 w:bidi="ar-SA"/>
              </w:rPr>
              <w:t>经济成本指标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D5AA0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促进沿线经济发展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8C2C12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促进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5EC63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3B4D92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BC627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9C1B3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41635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1AC4E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水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路安全水平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5A5A3C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471E3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4F55AA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B4B58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D31AC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9DB94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73F81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交通建设符合环评建设要求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232660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378F4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309592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6B052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FA00C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AB570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07127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适应未来一定时期内交通需求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0FD7D4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适应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22495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6F0A9E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844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12FFAC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  <w:t>年度绩效目标表</w:t>
            </w:r>
          </w:p>
        </w:tc>
      </w:tr>
      <w:tr w14:paraId="652126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8DE2A0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目标名称</w:t>
            </w:r>
          </w:p>
        </w:tc>
        <w:tc>
          <w:tcPr>
            <w:tcW w:w="11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E41AF5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9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73D0B6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212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DAB0E5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三级</w:t>
            </w:r>
          </w:p>
          <w:p w14:paraId="0FEC8107">
            <w:pPr>
              <w:widowControl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指标</w:t>
            </w:r>
          </w:p>
        </w:tc>
        <w:tc>
          <w:tcPr>
            <w:tcW w:w="24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2D3646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指标值</w:t>
            </w:r>
          </w:p>
        </w:tc>
        <w:tc>
          <w:tcPr>
            <w:tcW w:w="1015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CBC9AC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指标值确定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依据</w:t>
            </w:r>
          </w:p>
        </w:tc>
      </w:tr>
      <w:tr w14:paraId="09CEE1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9DF89">
            <w:pPr>
              <w:widowControl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3862E">
            <w:pPr>
              <w:widowControl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3F439">
            <w:pPr>
              <w:widowControl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DB175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223D2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前年</w:t>
            </w:r>
          </w:p>
        </w:tc>
        <w:tc>
          <w:tcPr>
            <w:tcW w:w="5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B227FA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上年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917B62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预计当年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实现</w:t>
            </w:r>
          </w:p>
        </w:tc>
        <w:tc>
          <w:tcPr>
            <w:tcW w:w="1015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917A67">
            <w:pPr>
              <w:widowControl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</w:tr>
      <w:tr w14:paraId="0016C7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7AF8F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  <w:p w14:paraId="53A910DB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  <w:p w14:paraId="2A6BCF13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  <w:p w14:paraId="01925FF6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  <w:p w14:paraId="6FCD2C9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农村公路日常养护　</w:t>
            </w:r>
          </w:p>
        </w:tc>
        <w:tc>
          <w:tcPr>
            <w:tcW w:w="1145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F56C0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产出</w:t>
            </w:r>
          </w:p>
        </w:tc>
        <w:tc>
          <w:tcPr>
            <w:tcW w:w="97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6D52C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产出数量</w:t>
            </w:r>
          </w:p>
          <w:p w14:paraId="59E5963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B7C920">
            <w:pPr>
              <w:widowControl/>
              <w:snapToGrid w:val="0"/>
              <w:jc w:val="left"/>
              <w:rPr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　配合联合执法次数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5BE6EF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59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4BE314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EC3FE9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A8554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6CAADC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7EE2F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A490E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34D08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产出质量</w:t>
            </w:r>
          </w:p>
        </w:tc>
        <w:tc>
          <w:tcPr>
            <w:tcW w:w="212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6892FB">
            <w:pPr>
              <w:widowControl/>
              <w:snapToGrid w:val="0"/>
              <w:jc w:val="left"/>
              <w:rPr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清理取缔涉渔‘三无船舶’数量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F33D5A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59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C47CE0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4EFBC0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E79B5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计划标准</w:t>
            </w:r>
          </w:p>
        </w:tc>
      </w:tr>
      <w:tr w14:paraId="6794E3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6A1EA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7B95F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C546C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产出质量</w:t>
            </w:r>
          </w:p>
        </w:tc>
        <w:tc>
          <w:tcPr>
            <w:tcW w:w="212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DED10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通航事故发生率率　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9913A1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符合</w:t>
            </w:r>
          </w:p>
        </w:tc>
        <w:tc>
          <w:tcPr>
            <w:tcW w:w="59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700ABB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符合</w:t>
            </w:r>
          </w:p>
        </w:tc>
        <w:tc>
          <w:tcPr>
            <w:tcW w:w="11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59AC5B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符合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7FA89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计划标准</w:t>
            </w:r>
          </w:p>
        </w:tc>
      </w:tr>
      <w:tr w14:paraId="29137F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38A49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BC9EE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FCB43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产出时效</w:t>
            </w:r>
          </w:p>
        </w:tc>
        <w:tc>
          <w:tcPr>
            <w:tcW w:w="212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69CCEA">
            <w:pPr>
              <w:widowControl/>
              <w:snapToGrid w:val="0"/>
              <w:jc w:val="left"/>
              <w:rPr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非法捕捞处置率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3E7DB9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  <w:lang w:eastAsia="zh-CN"/>
              </w:rPr>
              <w:t>按期</w:t>
            </w:r>
          </w:p>
        </w:tc>
        <w:tc>
          <w:tcPr>
            <w:tcW w:w="59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E0456A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  <w:lang w:eastAsia="zh-CN"/>
              </w:rPr>
              <w:t>按期</w:t>
            </w:r>
          </w:p>
        </w:tc>
        <w:tc>
          <w:tcPr>
            <w:tcW w:w="11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D33A6E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  <w:lang w:eastAsia="zh-CN"/>
              </w:rPr>
              <w:t>按期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76D75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计划标准</w:t>
            </w:r>
          </w:p>
        </w:tc>
      </w:tr>
      <w:tr w14:paraId="4DC920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0196F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6A6A8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447AA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产出成本</w:t>
            </w:r>
          </w:p>
        </w:tc>
        <w:tc>
          <w:tcPr>
            <w:tcW w:w="212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B3F20E">
            <w:pPr>
              <w:widowControl/>
              <w:snapToGrid w:val="0"/>
              <w:jc w:val="left"/>
              <w:rPr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河道采砂违规违法事件下降率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38EF34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59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218382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9FAA33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B53BF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计划标准</w:t>
            </w:r>
          </w:p>
        </w:tc>
      </w:tr>
      <w:tr w14:paraId="389292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35FDD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D28A5F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效果</w:t>
            </w:r>
          </w:p>
        </w:tc>
        <w:tc>
          <w:tcPr>
            <w:tcW w:w="977" w:type="dxa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C7272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FF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社会效益</w:t>
            </w:r>
          </w:p>
        </w:tc>
        <w:tc>
          <w:tcPr>
            <w:tcW w:w="212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BEC111">
            <w:pPr>
              <w:widowControl/>
              <w:snapToGrid w:val="0"/>
              <w:jc w:val="left"/>
              <w:rPr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安全检查设施配备率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7A64E4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促进</w:t>
            </w:r>
          </w:p>
        </w:tc>
        <w:tc>
          <w:tcPr>
            <w:tcW w:w="59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F94575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促进</w:t>
            </w:r>
          </w:p>
        </w:tc>
        <w:tc>
          <w:tcPr>
            <w:tcW w:w="11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9721ED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促进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FF618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计划标准</w:t>
            </w:r>
          </w:p>
        </w:tc>
      </w:tr>
      <w:tr w14:paraId="5C69B1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6DE58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1E770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77" w:type="dxa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B8305F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社会效益</w:t>
            </w:r>
          </w:p>
        </w:tc>
        <w:tc>
          <w:tcPr>
            <w:tcW w:w="212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B199B2">
            <w:pPr>
              <w:widowControl/>
              <w:snapToGrid w:val="0"/>
              <w:jc w:val="left"/>
              <w:rPr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举报投诉事件处置及时率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B7953B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改善</w:t>
            </w:r>
          </w:p>
        </w:tc>
        <w:tc>
          <w:tcPr>
            <w:tcW w:w="59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77DC43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改善</w:t>
            </w:r>
          </w:p>
        </w:tc>
        <w:tc>
          <w:tcPr>
            <w:tcW w:w="11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A52D57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改善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CAFFD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计划标准</w:t>
            </w:r>
          </w:p>
        </w:tc>
      </w:tr>
      <w:tr w14:paraId="41B764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22841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8EBD5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77" w:type="dxa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57263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可持续指标</w:t>
            </w:r>
          </w:p>
        </w:tc>
        <w:tc>
          <w:tcPr>
            <w:tcW w:w="212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B7403F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保障河势稳定和防洪、通航安全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277D03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15"/>
                <w:szCs w:val="15"/>
              </w:rPr>
              <w:t>可适应</w:t>
            </w:r>
          </w:p>
        </w:tc>
        <w:tc>
          <w:tcPr>
            <w:tcW w:w="59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302AF4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15"/>
                <w:szCs w:val="15"/>
              </w:rPr>
              <w:t>可适应</w:t>
            </w:r>
          </w:p>
        </w:tc>
        <w:tc>
          <w:tcPr>
            <w:tcW w:w="11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CF6BE4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可适应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999B2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计划标准</w:t>
            </w:r>
          </w:p>
        </w:tc>
      </w:tr>
      <w:tr w14:paraId="1915EC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85E30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C2862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满意度</w:t>
            </w:r>
          </w:p>
        </w:tc>
        <w:tc>
          <w:tcPr>
            <w:tcW w:w="97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D1167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服务对象满意度</w:t>
            </w:r>
          </w:p>
        </w:tc>
        <w:tc>
          <w:tcPr>
            <w:tcW w:w="212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B9F2EB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Arial" w:eastAsia="仿宋_GB2312" w:cs="Arial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满意度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9AD9AE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≥90%</w:t>
            </w:r>
          </w:p>
        </w:tc>
        <w:tc>
          <w:tcPr>
            <w:tcW w:w="59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A12B67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≥90%</w:t>
            </w:r>
          </w:p>
        </w:tc>
        <w:tc>
          <w:tcPr>
            <w:tcW w:w="11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5C6BCC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≥90%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7B32E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计划标准</w:t>
            </w:r>
          </w:p>
        </w:tc>
      </w:tr>
    </w:tbl>
    <w:p w14:paraId="56B7D47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mZTBjZDhkNmUxYjg2OGNmYTk3Yzk1MmNlZmY5NjIifQ=="/>
  </w:docVars>
  <w:rsids>
    <w:rsidRoot w:val="00A06145"/>
    <w:rsid w:val="00447B9C"/>
    <w:rsid w:val="00A06145"/>
    <w:rsid w:val="00B10814"/>
    <w:rsid w:val="00E36326"/>
    <w:rsid w:val="00E71B50"/>
    <w:rsid w:val="039943E8"/>
    <w:rsid w:val="091E2397"/>
    <w:rsid w:val="0970725E"/>
    <w:rsid w:val="0FCB39FD"/>
    <w:rsid w:val="15020FE7"/>
    <w:rsid w:val="1635775C"/>
    <w:rsid w:val="1D2C176A"/>
    <w:rsid w:val="1DFE6F99"/>
    <w:rsid w:val="1E90408A"/>
    <w:rsid w:val="1F1244A0"/>
    <w:rsid w:val="1F2042CA"/>
    <w:rsid w:val="20C77E50"/>
    <w:rsid w:val="276C3EE6"/>
    <w:rsid w:val="33F33C6B"/>
    <w:rsid w:val="39DD3AE3"/>
    <w:rsid w:val="3CA0512C"/>
    <w:rsid w:val="42AE4029"/>
    <w:rsid w:val="48E127F4"/>
    <w:rsid w:val="4B580240"/>
    <w:rsid w:val="541427FD"/>
    <w:rsid w:val="66BF255F"/>
    <w:rsid w:val="673B5D96"/>
    <w:rsid w:val="690552EC"/>
    <w:rsid w:val="6EBA71F4"/>
    <w:rsid w:val="72310DA5"/>
    <w:rsid w:val="73366AF1"/>
    <w:rsid w:val="735C3B70"/>
    <w:rsid w:val="74131916"/>
    <w:rsid w:val="74DC2573"/>
    <w:rsid w:val="7BD95023"/>
    <w:rsid w:val="7EF551E0"/>
    <w:rsid w:val="7FEDD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9"/>
    <w:qFormat/>
    <w:uiPriority w:val="0"/>
    <w:pPr>
      <w:jc w:val="left"/>
    </w:pPr>
  </w:style>
  <w:style w:type="paragraph" w:styleId="4">
    <w:name w:val="Balloon Text"/>
    <w:basedOn w:val="1"/>
    <w:link w:val="11"/>
    <w:qFormat/>
    <w:uiPriority w:val="0"/>
    <w:rPr>
      <w:sz w:val="18"/>
      <w:szCs w:val="18"/>
    </w:rPr>
  </w:style>
  <w:style w:type="paragraph" w:styleId="5">
    <w:name w:val="annotation subject"/>
    <w:basedOn w:val="3"/>
    <w:next w:val="3"/>
    <w:link w:val="10"/>
    <w:qFormat/>
    <w:uiPriority w:val="0"/>
    <w:rPr>
      <w:b/>
      <w:bCs/>
    </w:r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character" w:customStyle="1" w:styleId="9">
    <w:name w:val="批注文字 Char"/>
    <w:basedOn w:val="7"/>
    <w:link w:val="3"/>
    <w:qFormat/>
    <w:uiPriority w:val="0"/>
    <w:rPr>
      <w:rFonts w:ascii="Times New Roman" w:hAnsi="Times New Roman" w:eastAsia="宋体" w:cs="Times New Roman"/>
      <w:kern w:val="2"/>
      <w:sz w:val="21"/>
    </w:rPr>
  </w:style>
  <w:style w:type="character" w:customStyle="1" w:styleId="10">
    <w:name w:val="批注主题 Char"/>
    <w:basedOn w:val="9"/>
    <w:link w:val="5"/>
    <w:qFormat/>
    <w:uiPriority w:val="0"/>
    <w:rPr>
      <w:b/>
      <w:bCs/>
    </w:rPr>
  </w:style>
  <w:style w:type="character" w:customStyle="1" w:styleId="11">
    <w:name w:val="批注框文本 Char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1158</Words>
  <Characters>1246</Characters>
  <Lines>10</Lines>
  <Paragraphs>2</Paragraphs>
  <TotalTime>3</TotalTime>
  <ScaleCrop>false</ScaleCrop>
  <LinksUpToDate>false</LinksUpToDate>
  <CharactersWithSpaces>1368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lenovo</dc:creator>
  <cp:lastModifiedBy>Administrator</cp:lastModifiedBy>
  <cp:lastPrinted>2024-12-31T09:38:00Z</cp:lastPrinted>
  <dcterms:modified xsi:type="dcterms:W3CDTF">2025-12-09T07:47:41Z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F71979FDC9AC4165902262539F37AEC0_13</vt:lpwstr>
  </property>
  <property fmtid="{D5CDD505-2E9C-101B-9397-08002B2CF9AE}" pid="4" name="KSOTemplateDocerSaveRecord">
    <vt:lpwstr>eyJoZGlkIjoiYWU5NmQzNTg2MGIwNjY0ZmZlNjAxNTJjNGQwMGY0NzkifQ==</vt:lpwstr>
  </property>
</Properties>
</file>