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4A185C">
      <w:pPr>
        <w:pStyle w:val="2"/>
        <w:snapToGrid w:val="0"/>
        <w:spacing w:before="360" w:after="240" w:line="640" w:lineRule="atLeast"/>
        <w:jc w:val="center"/>
        <w:rPr>
          <w:rFonts w:ascii="黑体" w:eastAsia="黑体"/>
          <w:b w:val="0"/>
          <w:szCs w:val="44"/>
        </w:rPr>
      </w:pPr>
      <w:r>
        <w:rPr>
          <w:rFonts w:hint="eastAsia" w:ascii="黑体" w:eastAsia="黑体"/>
          <w:b w:val="0"/>
          <w:szCs w:val="44"/>
        </w:rPr>
        <w:t>部门项目申报表(含绩效目标)</w:t>
      </w:r>
    </w:p>
    <w:p w14:paraId="45CACD25">
      <w:r>
        <w:rPr>
          <w:rFonts w:hint="eastAsia"/>
        </w:rPr>
        <w:t xml:space="preserve"> </w:t>
      </w:r>
      <w:r>
        <w:rPr>
          <w:rFonts w:hint="eastAsia" w:ascii="仿宋_GB2312" w:hAnsi="仿宋_GB2312" w:eastAsia="仿宋_GB2312" w:cs="仿宋_GB2312"/>
          <w:szCs w:val="21"/>
        </w:rPr>
        <w:t xml:space="preserve">申报日期： </w:t>
      </w:r>
      <w:r>
        <w:rPr>
          <w:rFonts w:hint="eastAsia"/>
        </w:rPr>
        <w:t xml:space="preserve">                                                          </w:t>
      </w:r>
      <w:r>
        <w:rPr>
          <w:rFonts w:hint="eastAsia" w:ascii="仿宋_GB2312" w:hAnsi="仿宋_GB2312" w:eastAsia="仿宋_GB2312" w:cs="仿宋_GB2312"/>
        </w:rPr>
        <w:t>单位：万元</w:t>
      </w:r>
    </w:p>
    <w:tbl>
      <w:tblPr>
        <w:tblStyle w:val="3"/>
        <w:tblW w:w="8886" w:type="dxa"/>
        <w:tblInd w:w="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9"/>
        <w:gridCol w:w="1149"/>
        <w:gridCol w:w="1150"/>
        <w:gridCol w:w="753"/>
        <w:gridCol w:w="900"/>
        <w:gridCol w:w="150"/>
        <w:gridCol w:w="690"/>
        <w:gridCol w:w="19"/>
        <w:gridCol w:w="727"/>
        <w:gridCol w:w="20"/>
        <w:gridCol w:w="1124"/>
        <w:gridCol w:w="26"/>
        <w:gridCol w:w="1029"/>
      </w:tblGrid>
      <w:tr w14:paraId="1AC101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75481C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280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ABDC0B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汉蔡高速蔡甸至琴台段小车通行费　</w:t>
            </w:r>
          </w:p>
        </w:tc>
        <w:tc>
          <w:tcPr>
            <w:tcW w:w="1586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F10EDB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项目编码</w:t>
            </w:r>
          </w:p>
        </w:tc>
        <w:tc>
          <w:tcPr>
            <w:tcW w:w="21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C2A719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4201142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064T000000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114</w:t>
            </w:r>
            <w:bookmarkStart w:id="0" w:name="_GoBack"/>
            <w:bookmarkEnd w:id="0"/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1539F4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99240F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项目主管部门</w:t>
            </w:r>
          </w:p>
        </w:tc>
        <w:tc>
          <w:tcPr>
            <w:tcW w:w="280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BB985B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区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交通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运输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局　</w:t>
            </w:r>
          </w:p>
        </w:tc>
        <w:tc>
          <w:tcPr>
            <w:tcW w:w="1586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B2AEC3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项目执行单位</w:t>
            </w:r>
          </w:p>
        </w:tc>
        <w:tc>
          <w:tcPr>
            <w:tcW w:w="21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96DF9E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区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交通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运输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局　</w:t>
            </w:r>
          </w:p>
        </w:tc>
      </w:tr>
      <w:tr w14:paraId="0850A5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0800EA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项目负责人</w:t>
            </w:r>
          </w:p>
        </w:tc>
        <w:tc>
          <w:tcPr>
            <w:tcW w:w="280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ECC995">
            <w:pPr>
              <w:widowControl/>
              <w:snapToGrid w:val="0"/>
              <w:jc w:val="center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陈超</w:t>
            </w:r>
          </w:p>
        </w:tc>
        <w:tc>
          <w:tcPr>
            <w:tcW w:w="1586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702C9D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1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FF4684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69810467</w:t>
            </w:r>
          </w:p>
        </w:tc>
      </w:tr>
      <w:tr w14:paraId="252E6E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2B62D2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项目属性</w:t>
            </w:r>
          </w:p>
        </w:tc>
        <w:tc>
          <w:tcPr>
            <w:tcW w:w="6588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0AD683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持续性项目</w:t>
            </w:r>
          </w:p>
        </w:tc>
      </w:tr>
      <w:tr w14:paraId="194209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0EB3AC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支出项目类别</w:t>
            </w:r>
          </w:p>
        </w:tc>
        <w:tc>
          <w:tcPr>
            <w:tcW w:w="6588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4E29FF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补贴补助类</w:t>
            </w:r>
          </w:p>
        </w:tc>
      </w:tr>
      <w:tr w14:paraId="354173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50CA42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起始年度</w:t>
            </w:r>
          </w:p>
        </w:tc>
        <w:tc>
          <w:tcPr>
            <w:tcW w:w="280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66BCFD">
            <w:pPr>
              <w:widowControl/>
              <w:snapToGrid w:val="0"/>
              <w:jc w:val="center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586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35A199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终止年度</w:t>
            </w:r>
          </w:p>
        </w:tc>
        <w:tc>
          <w:tcPr>
            <w:tcW w:w="21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787F87">
            <w:pPr>
              <w:widowControl/>
              <w:snapToGrid w:val="0"/>
              <w:jc w:val="center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202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</w:tr>
      <w:tr w14:paraId="3F1312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2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C6E11E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项目立项依据</w:t>
            </w:r>
          </w:p>
        </w:tc>
        <w:tc>
          <w:tcPr>
            <w:tcW w:w="6588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C3F519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区人民政府与湖北省汉蔡高速公路有限公司、湖北省高速运输厅京珠高速公路管理处、湖北高速公路联网收费中心签订合同。</w:t>
            </w:r>
          </w:p>
        </w:tc>
      </w:tr>
      <w:tr w14:paraId="2AC4E4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2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A07115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Cs w:val="21"/>
              </w:rPr>
              <w:t>项目实施方案</w:t>
            </w:r>
          </w:p>
        </w:tc>
        <w:tc>
          <w:tcPr>
            <w:tcW w:w="6588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279AD2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Cs w:val="21"/>
              </w:rPr>
              <w:t>　区人民政府与湖北省汉蔡高速公路有限公司、湖北省高速运输厅京珠高速公路管理处、湖北高速公路联网收费中心顺利完成合同签订。对7座以下小型客车免除通行费。</w:t>
            </w:r>
          </w:p>
        </w:tc>
      </w:tr>
      <w:tr w14:paraId="7464AA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6C39C1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项目总预算</w:t>
            </w:r>
          </w:p>
        </w:tc>
        <w:tc>
          <w:tcPr>
            <w:tcW w:w="280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70BC2E">
            <w:pPr>
              <w:widowControl/>
              <w:snapToGrid w:val="0"/>
              <w:jc w:val="righ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5000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86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D6A0C2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项目当年预算</w:t>
            </w:r>
          </w:p>
        </w:tc>
        <w:tc>
          <w:tcPr>
            <w:tcW w:w="21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51F677">
            <w:pPr>
              <w:widowControl/>
              <w:snapToGrid w:val="0"/>
              <w:jc w:val="right"/>
              <w:rPr>
                <w:rFonts w:hint="default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5000</w:t>
            </w:r>
          </w:p>
        </w:tc>
      </w:tr>
      <w:tr w14:paraId="318529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2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E78E49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项目前两年预算及当年预算变动情况</w:t>
            </w:r>
          </w:p>
        </w:tc>
        <w:tc>
          <w:tcPr>
            <w:tcW w:w="6588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E99C33">
            <w:pPr>
              <w:widowControl/>
              <w:snapToGrid w:val="0"/>
              <w:jc w:val="left"/>
              <w:rPr>
                <w:rFonts w:hint="default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2024年预算申报3000万元，2025年预算申报2000万元，2026年预算申报5000万元</w:t>
            </w:r>
          </w:p>
        </w:tc>
      </w:tr>
      <w:tr w14:paraId="78E50F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8" w:type="dxa"/>
            <w:gridSpan w:val="2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4FE2D8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项目资金来源</w:t>
            </w:r>
          </w:p>
        </w:tc>
        <w:tc>
          <w:tcPr>
            <w:tcW w:w="4389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C64389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来源项目</w:t>
            </w:r>
          </w:p>
        </w:tc>
        <w:tc>
          <w:tcPr>
            <w:tcW w:w="21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A7227F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金额</w:t>
            </w:r>
          </w:p>
        </w:tc>
      </w:tr>
      <w:tr w14:paraId="76941C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8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E68D0F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89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0F7A34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21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E51808">
            <w:pPr>
              <w:widowControl/>
              <w:snapToGrid w:val="0"/>
              <w:jc w:val="right"/>
              <w:rPr>
                <w:rFonts w:hint="default" w:ascii="仿宋_GB2312" w:hAnsi="Calibri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5000</w:t>
            </w:r>
          </w:p>
        </w:tc>
      </w:tr>
      <w:tr w14:paraId="1C6D33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8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3F31BE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89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51983C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一般公共预算财政拨款</w:t>
            </w:r>
          </w:p>
        </w:tc>
        <w:tc>
          <w:tcPr>
            <w:tcW w:w="21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559211">
            <w:pPr>
              <w:widowControl/>
              <w:snapToGrid w:val="0"/>
              <w:jc w:val="right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5000</w:t>
            </w: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4CCDAF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8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3EB7E9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89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776E8E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 xml:space="preserve">  其中：申请当年预算拨款</w:t>
            </w:r>
          </w:p>
        </w:tc>
        <w:tc>
          <w:tcPr>
            <w:tcW w:w="21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871EEB">
            <w:pPr>
              <w:widowControl/>
              <w:snapToGrid w:val="0"/>
              <w:jc w:val="right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5000</w:t>
            </w: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686D39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8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A1405C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89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F4178F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政府性基金预算财政拨款</w:t>
            </w:r>
          </w:p>
        </w:tc>
        <w:tc>
          <w:tcPr>
            <w:tcW w:w="21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BF7FA4">
            <w:pPr>
              <w:widowControl/>
              <w:snapToGrid w:val="0"/>
              <w:jc w:val="right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709FBB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8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878862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89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40DE9C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财政专户管理资金</w:t>
            </w:r>
          </w:p>
        </w:tc>
        <w:tc>
          <w:tcPr>
            <w:tcW w:w="21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18A3FE">
            <w:pPr>
              <w:widowControl/>
              <w:snapToGrid w:val="0"/>
              <w:jc w:val="righ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</w:tr>
      <w:tr w14:paraId="540423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8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77ACD9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89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96AEE7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单位资金</w:t>
            </w:r>
          </w:p>
        </w:tc>
        <w:tc>
          <w:tcPr>
            <w:tcW w:w="21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4BC6F7">
            <w:pPr>
              <w:widowControl/>
              <w:snapToGrid w:val="0"/>
              <w:jc w:val="righ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7AFE52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8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251567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89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0B7799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 xml:space="preserve">  其中：使用上年度财政拨款结转</w:t>
            </w:r>
          </w:p>
        </w:tc>
        <w:tc>
          <w:tcPr>
            <w:tcW w:w="21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2DBE44">
            <w:pPr>
              <w:widowControl/>
              <w:snapToGrid w:val="0"/>
              <w:jc w:val="right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21A41E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886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016016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项目支出明细测算</w:t>
            </w:r>
          </w:p>
        </w:tc>
      </w:tr>
      <w:tr w14:paraId="1D82C4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6BB6C7">
            <w:pPr>
              <w:widowControl/>
              <w:snapToGrid w:val="0"/>
              <w:jc w:val="center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项目活动</w:t>
            </w:r>
          </w:p>
        </w:tc>
        <w:tc>
          <w:tcPr>
            <w:tcW w:w="1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706B03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活动内容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表述</w:t>
            </w:r>
          </w:p>
        </w:tc>
        <w:tc>
          <w:tcPr>
            <w:tcW w:w="190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FBC55F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支出经济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分类</w:t>
            </w:r>
          </w:p>
        </w:tc>
        <w:tc>
          <w:tcPr>
            <w:tcW w:w="9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9C1250">
            <w:pPr>
              <w:widowControl/>
              <w:snapToGrid w:val="0"/>
              <w:jc w:val="center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金额</w:t>
            </w:r>
          </w:p>
        </w:tc>
        <w:tc>
          <w:tcPr>
            <w:tcW w:w="2730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0D56B3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测算依据及说明</w:t>
            </w:r>
          </w:p>
        </w:tc>
        <w:tc>
          <w:tcPr>
            <w:tcW w:w="105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FE8929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14:paraId="6F9EF4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757BE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汉蔡高速小车通行费　</w:t>
            </w:r>
          </w:p>
        </w:tc>
        <w:tc>
          <w:tcPr>
            <w:tcW w:w="1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82AB2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18"/>
                <w:szCs w:val="18"/>
              </w:rPr>
              <w:t>对7座以下小型客车免除通行费</w:t>
            </w:r>
          </w:p>
        </w:tc>
        <w:tc>
          <w:tcPr>
            <w:tcW w:w="190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3E838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其他对企业补助</w:t>
            </w:r>
          </w:p>
        </w:tc>
        <w:tc>
          <w:tcPr>
            <w:tcW w:w="9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F62D23">
            <w:pPr>
              <w:widowControl/>
              <w:snapToGrid w:val="0"/>
              <w:jc w:val="righ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5000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730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F025F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琴台、蔡甸点对点区间免费通行里程12.935公里，其中汉蔡段12.209公里、京珠段0.726公里。根据《湖北省高速公路车辆通行费客车收费标准》，汉蔡高速1类客车通行收费标准0.76元/公里，京珠高速1类客车通行费收费标准为0.4元/公里，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全路段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1类客车通行收费标准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为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9.56924元。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ETC车辆给予应缴通行费5%的基本优惠。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</w:rPr>
              <w:t>202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</w:rPr>
              <w:t>年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lang w:val="en-US" w:eastAsia="zh-CN"/>
              </w:rPr>
              <w:t>9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</w:rPr>
              <w:t>月-202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</w:rPr>
              <w:t>年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</w:rPr>
              <w:t>月车流量合计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lang w:val="en-US" w:eastAsia="zh-CN"/>
              </w:rPr>
              <w:t>7474792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</w:rPr>
              <w:t>辆，金额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lang w:val="en-US" w:eastAsia="zh-CN"/>
              </w:rPr>
              <w:t>71859221.69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</w:rPr>
              <w:t xml:space="preserve">元。      </w:t>
            </w:r>
            <w:r>
              <w:rPr>
                <w:rFonts w:hint="eastAsia" w:ascii="仿宋_GB2312" w:hAnsi="宋体" w:eastAsia="仿宋_GB2312" w:cs="Arial"/>
                <w:color w:val="FF0000"/>
                <w:kern w:val="0"/>
              </w:rPr>
              <w:t xml:space="preserve">     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</w:rPr>
              <w:t xml:space="preserve">             </w:t>
            </w:r>
          </w:p>
        </w:tc>
        <w:tc>
          <w:tcPr>
            <w:tcW w:w="105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360B0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164524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0B802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1428B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90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86F81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07161C">
            <w:pPr>
              <w:widowControl/>
              <w:snapToGrid w:val="0"/>
              <w:jc w:val="righ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730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BE473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5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8E21C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64DB7F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232F7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38DA5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90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A31A3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F5E41E">
            <w:pPr>
              <w:widowControl/>
              <w:snapToGrid w:val="0"/>
              <w:jc w:val="righ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730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AB213F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5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6C6E1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5DDFA9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93C17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009F7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90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09069A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654F0A">
            <w:pPr>
              <w:widowControl/>
              <w:snapToGrid w:val="0"/>
              <w:jc w:val="righ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730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03596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5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29474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4E6F04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886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3A9B1E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项目采购</w:t>
            </w:r>
          </w:p>
        </w:tc>
      </w:tr>
      <w:tr w14:paraId="143015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603F58">
            <w:pPr>
              <w:widowControl/>
              <w:snapToGrid w:val="0"/>
              <w:jc w:val="center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品名</w:t>
            </w:r>
          </w:p>
        </w:tc>
        <w:tc>
          <w:tcPr>
            <w:tcW w:w="280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B91A81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3785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6E7116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金额</w:t>
            </w:r>
          </w:p>
        </w:tc>
      </w:tr>
      <w:tr w14:paraId="6EC4E5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E79EA0">
            <w:pPr>
              <w:widowControl/>
              <w:snapToGrid w:val="0"/>
              <w:jc w:val="left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0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F62211">
            <w:pPr>
              <w:widowControl/>
              <w:snapToGrid w:val="0"/>
              <w:jc w:val="right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85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B62A1B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000872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0849C83E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0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5CD19975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85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6EAF1EC1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221F17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886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BEE17D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项目绩效总目标</w:t>
            </w:r>
          </w:p>
        </w:tc>
      </w:tr>
      <w:tr w14:paraId="2B25AE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CD3DF7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6588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789F0D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目标说明</w:t>
            </w:r>
          </w:p>
        </w:tc>
      </w:tr>
      <w:tr w14:paraId="61CB64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461EB6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汉蔡高速蔡甸至琴台段小车通行费</w:t>
            </w:r>
          </w:p>
        </w:tc>
        <w:tc>
          <w:tcPr>
            <w:tcW w:w="6588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486CC0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项目实施满足蔡甸区与中心城区“零障碍”通行，节约了小车通行成本，带动蔡甸旅游业发展，加快了投资者的引进，促进房地产业发展，增强了蔡甸区人民幸福感和获得感。</w:t>
            </w:r>
          </w:p>
        </w:tc>
      </w:tr>
      <w:tr w14:paraId="48A281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447D2F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6588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4BBBA0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7AF668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9D99DE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6588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13AE27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6EDD81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B42291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6588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2F542E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74819B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886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8DCB13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长期绩效目标表</w:t>
            </w:r>
          </w:p>
        </w:tc>
      </w:tr>
      <w:tr w14:paraId="5F4E7E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624321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目标名称</w:t>
            </w:r>
          </w:p>
        </w:tc>
        <w:tc>
          <w:tcPr>
            <w:tcW w:w="1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3B3686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190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08E95A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174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853DD0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7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04A0E2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21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27AED7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指标值确定依据</w:t>
            </w:r>
          </w:p>
        </w:tc>
      </w:tr>
      <w:tr w14:paraId="21100E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34717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  <w:p w14:paraId="16419E9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  <w:p w14:paraId="41C6670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汉蔡高速蔡甸至琴台段小车通行费　</w:t>
            </w:r>
          </w:p>
        </w:tc>
        <w:tc>
          <w:tcPr>
            <w:tcW w:w="1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96D4D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项目立项</w:t>
            </w:r>
          </w:p>
        </w:tc>
        <w:tc>
          <w:tcPr>
            <w:tcW w:w="190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10615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立项程序规范性</w:t>
            </w:r>
          </w:p>
        </w:tc>
        <w:tc>
          <w:tcPr>
            <w:tcW w:w="174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13956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项目设立申请程序符合要求</w:t>
            </w:r>
          </w:p>
        </w:tc>
        <w:tc>
          <w:tcPr>
            <w:tcW w:w="7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19E51B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21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682C96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行业标准</w:t>
            </w:r>
          </w:p>
        </w:tc>
      </w:tr>
      <w:tr w14:paraId="16B8A9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114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80AD9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7C8A0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资金投入</w:t>
            </w:r>
          </w:p>
        </w:tc>
        <w:tc>
          <w:tcPr>
            <w:tcW w:w="190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30D2C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预算编制科学性</w:t>
            </w:r>
          </w:p>
        </w:tc>
        <w:tc>
          <w:tcPr>
            <w:tcW w:w="174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950FEF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t>项目预算内容与项目内容相匹配</w:t>
            </w:r>
          </w:p>
        </w:tc>
        <w:tc>
          <w:tcPr>
            <w:tcW w:w="7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2580E7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21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1F22A3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行业标准</w:t>
            </w:r>
          </w:p>
        </w:tc>
      </w:tr>
      <w:tr w14:paraId="4FB79B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009C5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C3DFA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资金管理</w:t>
            </w:r>
          </w:p>
        </w:tc>
        <w:tc>
          <w:tcPr>
            <w:tcW w:w="190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368CC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资金使用合规性</w:t>
            </w:r>
          </w:p>
        </w:tc>
        <w:tc>
          <w:tcPr>
            <w:tcW w:w="174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1F66D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t>资金分配额度与补助单位或地方实际情况相适应</w:t>
            </w:r>
          </w:p>
        </w:tc>
        <w:tc>
          <w:tcPr>
            <w:tcW w:w="7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C71D57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21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534E40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行业标准</w:t>
            </w:r>
          </w:p>
        </w:tc>
      </w:tr>
      <w:tr w14:paraId="0BE4E8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83D19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E87B7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组织实施</w:t>
            </w:r>
          </w:p>
        </w:tc>
        <w:tc>
          <w:tcPr>
            <w:tcW w:w="190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F6598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制度执行有效性</w:t>
            </w:r>
          </w:p>
        </w:tc>
        <w:tc>
          <w:tcPr>
            <w:tcW w:w="174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B83D7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项目实施人员条件、场地设施、信息支撑等落实到位</w:t>
            </w:r>
          </w:p>
        </w:tc>
        <w:tc>
          <w:tcPr>
            <w:tcW w:w="7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470726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21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688534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行业标准</w:t>
            </w:r>
          </w:p>
        </w:tc>
      </w:tr>
      <w:tr w14:paraId="02022C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</w:trPr>
        <w:tc>
          <w:tcPr>
            <w:tcW w:w="114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24AEFA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9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E25B2F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产出</w:t>
            </w:r>
          </w:p>
          <w:p w14:paraId="15F8867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03" w:type="dxa"/>
            <w:gridSpan w:val="2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8FBB8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产出数量</w:t>
            </w:r>
          </w:p>
        </w:tc>
        <w:tc>
          <w:tcPr>
            <w:tcW w:w="1740" w:type="dxa"/>
            <w:gridSpan w:val="3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01BB3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全年免费通行小车辆数完成率</w:t>
            </w:r>
          </w:p>
        </w:tc>
        <w:tc>
          <w:tcPr>
            <w:tcW w:w="746" w:type="dxa"/>
            <w:gridSpan w:val="2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E275D6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21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3BC038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行业标准</w:t>
            </w:r>
          </w:p>
        </w:tc>
      </w:tr>
      <w:tr w14:paraId="035B81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FDEC9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9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8F88A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03" w:type="dxa"/>
            <w:gridSpan w:val="2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98F63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质量达标率</w:t>
            </w:r>
          </w:p>
          <w:p w14:paraId="5A55CD9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4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E9B3A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汉蔡高速小车通行费补贴发放准确率</w:t>
            </w:r>
          </w:p>
        </w:tc>
        <w:tc>
          <w:tcPr>
            <w:tcW w:w="7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A0ED9A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21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396A3A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行业标准</w:t>
            </w:r>
          </w:p>
        </w:tc>
      </w:tr>
      <w:tr w14:paraId="53CF8A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A220E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9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E0C88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03" w:type="dxa"/>
            <w:gridSpan w:val="2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E8677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4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FACB6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汉蔡高速小车通行费补贴应发尽发率</w:t>
            </w:r>
          </w:p>
        </w:tc>
        <w:tc>
          <w:tcPr>
            <w:tcW w:w="7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2F8267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21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CB05EC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行业标准</w:t>
            </w:r>
          </w:p>
        </w:tc>
      </w:tr>
      <w:tr w14:paraId="2783FE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9FB5B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9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E0701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03" w:type="dxa"/>
            <w:gridSpan w:val="2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7D922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4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8C633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汉蔡高速小车通行费减免率</w:t>
            </w:r>
          </w:p>
        </w:tc>
        <w:tc>
          <w:tcPr>
            <w:tcW w:w="7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D91394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21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5AD202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行业标准</w:t>
            </w:r>
          </w:p>
        </w:tc>
      </w:tr>
      <w:tr w14:paraId="31F8AF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38299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06DE1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产出时效</w:t>
            </w:r>
          </w:p>
        </w:tc>
        <w:tc>
          <w:tcPr>
            <w:tcW w:w="190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FD841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完成及时性</w:t>
            </w:r>
          </w:p>
        </w:tc>
        <w:tc>
          <w:tcPr>
            <w:tcW w:w="174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5B9A8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汉蔡高速小车通行费补贴资金拨付完成及时率</w:t>
            </w:r>
          </w:p>
        </w:tc>
        <w:tc>
          <w:tcPr>
            <w:tcW w:w="7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DBE420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21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54E844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行业标准</w:t>
            </w:r>
          </w:p>
        </w:tc>
      </w:tr>
      <w:tr w14:paraId="7F8C4A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A8967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0BC2D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产出成本</w:t>
            </w:r>
          </w:p>
        </w:tc>
        <w:tc>
          <w:tcPr>
            <w:tcW w:w="190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8F32F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成本节约率</w:t>
            </w:r>
          </w:p>
        </w:tc>
        <w:tc>
          <w:tcPr>
            <w:tcW w:w="174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5D40B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补贴资金成本节约率</w:t>
            </w:r>
          </w:p>
        </w:tc>
        <w:tc>
          <w:tcPr>
            <w:tcW w:w="7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C09990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21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90B9FC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行业标准</w:t>
            </w:r>
          </w:p>
        </w:tc>
      </w:tr>
      <w:tr w14:paraId="71C549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27029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9" w:type="dxa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7AFA3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效果</w:t>
            </w:r>
          </w:p>
        </w:tc>
        <w:tc>
          <w:tcPr>
            <w:tcW w:w="1903" w:type="dxa"/>
            <w:gridSpan w:val="2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401D7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实施效益</w:t>
            </w:r>
          </w:p>
        </w:tc>
        <w:tc>
          <w:tcPr>
            <w:tcW w:w="174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24FC6A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可持续影响：带动蔡甸区房地产业、投资。旅游发展</w:t>
            </w:r>
          </w:p>
        </w:tc>
        <w:tc>
          <w:tcPr>
            <w:tcW w:w="7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A318D2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90%</w:t>
            </w:r>
          </w:p>
        </w:tc>
        <w:tc>
          <w:tcPr>
            <w:tcW w:w="21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64649F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行业标准</w:t>
            </w:r>
          </w:p>
        </w:tc>
      </w:tr>
      <w:tr w14:paraId="2B5255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CD3CB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9" w:type="dxa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ABF01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满意度</w:t>
            </w:r>
          </w:p>
        </w:tc>
        <w:tc>
          <w:tcPr>
            <w:tcW w:w="1903" w:type="dxa"/>
            <w:gridSpan w:val="2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0075EF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群众满意度</w:t>
            </w:r>
          </w:p>
        </w:tc>
        <w:tc>
          <w:tcPr>
            <w:tcW w:w="174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7336F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群众满意度</w:t>
            </w:r>
          </w:p>
        </w:tc>
        <w:tc>
          <w:tcPr>
            <w:tcW w:w="7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19B947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98%</w:t>
            </w:r>
          </w:p>
        </w:tc>
        <w:tc>
          <w:tcPr>
            <w:tcW w:w="21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10EB43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行业标准</w:t>
            </w:r>
          </w:p>
        </w:tc>
      </w:tr>
      <w:tr w14:paraId="7E7CD1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886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2395B6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年度绩效目标表</w:t>
            </w:r>
          </w:p>
        </w:tc>
      </w:tr>
      <w:tr w14:paraId="60E398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CD17FF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目标名称</w:t>
            </w:r>
          </w:p>
        </w:tc>
        <w:tc>
          <w:tcPr>
            <w:tcW w:w="11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D8CFF4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11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DA9EFC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180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EA6485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三级</w:t>
            </w:r>
          </w:p>
          <w:p w14:paraId="2B63BB30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</w:t>
            </w:r>
          </w:p>
        </w:tc>
        <w:tc>
          <w:tcPr>
            <w:tcW w:w="26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AC1BB5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1029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0B13F7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指标值确定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依据</w:t>
            </w:r>
          </w:p>
        </w:tc>
      </w:tr>
      <w:tr w14:paraId="46568A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A0D51"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77499"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6DF13"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3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A8912"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7BA96F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前年</w:t>
            </w:r>
          </w:p>
        </w:tc>
        <w:tc>
          <w:tcPr>
            <w:tcW w:w="7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A8B7B8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上年</w:t>
            </w:r>
          </w:p>
        </w:tc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6AA16B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预计当年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实现</w:t>
            </w:r>
          </w:p>
        </w:tc>
        <w:tc>
          <w:tcPr>
            <w:tcW w:w="1029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2F118D"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</w:tr>
      <w:tr w14:paraId="0098EB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9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B045B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汉蔡高速蔡甸至琴台段小车通行费　</w:t>
            </w:r>
          </w:p>
        </w:tc>
        <w:tc>
          <w:tcPr>
            <w:tcW w:w="1149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87BB6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  <w:p w14:paraId="18B97B9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  <w:p w14:paraId="718D57F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  <w:p w14:paraId="5213430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  <w:p w14:paraId="2EDAA8A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  <w:p w14:paraId="72DDD28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  <w:p w14:paraId="5B68887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  <w:p w14:paraId="5D47874F">
            <w:pPr>
              <w:widowControl/>
              <w:snapToGrid w:val="0"/>
              <w:ind w:firstLine="240" w:firstLineChars="10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产出</w:t>
            </w:r>
          </w:p>
        </w:tc>
        <w:tc>
          <w:tcPr>
            <w:tcW w:w="1150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BE62FA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产出数量</w:t>
            </w:r>
          </w:p>
        </w:tc>
        <w:tc>
          <w:tcPr>
            <w:tcW w:w="180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35430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t>全年免费通行小车辆数完成率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703139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7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B10A5C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115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0216AC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102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7E4A1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行业标准</w:t>
            </w:r>
          </w:p>
        </w:tc>
      </w:tr>
      <w:tr w14:paraId="7A15B9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454B3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9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C3CD5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50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C815E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3E180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汉蔡高速小车通行费补贴应发尽发率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534CEE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7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6DA2AB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115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261918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102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6EFE8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行业标准</w:t>
            </w:r>
          </w:p>
        </w:tc>
      </w:tr>
      <w:tr w14:paraId="1084BA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22435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9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5DBD3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C03C9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质量达标率</w:t>
            </w:r>
          </w:p>
          <w:p w14:paraId="5D7377DA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52E34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汉蔡高速小车通行费补贴发放准确率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4FC265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7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997A72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115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70C7A1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102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97ACC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行业标准</w:t>
            </w:r>
          </w:p>
        </w:tc>
      </w:tr>
      <w:tr w14:paraId="46C7E9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0D384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9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A0AD8F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3B170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产出时效</w:t>
            </w:r>
          </w:p>
        </w:tc>
        <w:tc>
          <w:tcPr>
            <w:tcW w:w="180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B1959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汉蔡高速小车通行费补贴资金拨付完成及时率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AD28AC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7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FEC8FE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115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882352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102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6A172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行业标准</w:t>
            </w:r>
          </w:p>
        </w:tc>
      </w:tr>
      <w:tr w14:paraId="3C16B9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84C30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C3500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效果</w:t>
            </w:r>
          </w:p>
        </w:tc>
        <w:tc>
          <w:tcPr>
            <w:tcW w:w="11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E0971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33CC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社会效益</w:t>
            </w:r>
          </w:p>
        </w:tc>
        <w:tc>
          <w:tcPr>
            <w:tcW w:w="180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FEF3F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auto"/>
                <w:kern w:val="0"/>
                <w:sz w:val="24"/>
                <w:szCs w:val="24"/>
              </w:rPr>
              <w:t>加快了投资者的引进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3B43A1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促进发展</w:t>
            </w:r>
          </w:p>
        </w:tc>
        <w:tc>
          <w:tcPr>
            <w:tcW w:w="7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8F92CF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促进发展</w:t>
            </w:r>
          </w:p>
        </w:tc>
        <w:tc>
          <w:tcPr>
            <w:tcW w:w="115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E15FD7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促进发展</w:t>
            </w:r>
          </w:p>
        </w:tc>
        <w:tc>
          <w:tcPr>
            <w:tcW w:w="102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6EA03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行业标准</w:t>
            </w:r>
          </w:p>
        </w:tc>
      </w:tr>
      <w:tr w14:paraId="7FE9D9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ADC99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EBF6A1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E17773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80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B653E1">
            <w:pPr>
              <w:widowControl/>
              <w:snapToGrid w:val="0"/>
              <w:jc w:val="left"/>
              <w:rPr>
                <w:rFonts w:hint="eastAsia" w:ascii="仿宋_GB2312" w:hAnsi="Arial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auto"/>
                <w:kern w:val="0"/>
                <w:sz w:val="24"/>
                <w:szCs w:val="24"/>
              </w:rPr>
              <w:t>促进</w:t>
            </w: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蔡甸区房地产业和旅游发展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8E84EB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促进发展</w:t>
            </w:r>
          </w:p>
        </w:tc>
        <w:tc>
          <w:tcPr>
            <w:tcW w:w="7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CBBDC4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促进发展</w:t>
            </w:r>
          </w:p>
        </w:tc>
        <w:tc>
          <w:tcPr>
            <w:tcW w:w="115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9EA9D3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促进发展</w:t>
            </w:r>
          </w:p>
        </w:tc>
        <w:tc>
          <w:tcPr>
            <w:tcW w:w="102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3DCE0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行业标准</w:t>
            </w:r>
          </w:p>
        </w:tc>
      </w:tr>
      <w:tr w14:paraId="6D3BAA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39635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7D710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效果</w:t>
            </w:r>
          </w:p>
        </w:tc>
        <w:tc>
          <w:tcPr>
            <w:tcW w:w="1150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9F9EE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33CC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社会效益</w:t>
            </w:r>
          </w:p>
        </w:tc>
        <w:tc>
          <w:tcPr>
            <w:tcW w:w="180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BBB8A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auto"/>
                <w:kern w:val="0"/>
                <w:sz w:val="24"/>
                <w:szCs w:val="24"/>
              </w:rPr>
              <w:t>满足蔡甸区与中心城区“零障碍”通行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B24108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区位感增强</w:t>
            </w:r>
          </w:p>
        </w:tc>
        <w:tc>
          <w:tcPr>
            <w:tcW w:w="7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DE4429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区位感增强</w:t>
            </w:r>
          </w:p>
        </w:tc>
        <w:tc>
          <w:tcPr>
            <w:tcW w:w="115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0549E0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区位感增强</w:t>
            </w:r>
          </w:p>
        </w:tc>
        <w:tc>
          <w:tcPr>
            <w:tcW w:w="102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CC0DC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行业标准</w:t>
            </w:r>
          </w:p>
        </w:tc>
      </w:tr>
      <w:tr w14:paraId="4B6786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72CF8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14E763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50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1848BE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33CC"/>
                <w:kern w:val="0"/>
                <w:sz w:val="24"/>
                <w:szCs w:val="24"/>
              </w:rPr>
            </w:pPr>
          </w:p>
        </w:tc>
        <w:tc>
          <w:tcPr>
            <w:tcW w:w="180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A2086C">
            <w:pPr>
              <w:widowControl/>
              <w:snapToGrid w:val="0"/>
              <w:jc w:val="left"/>
              <w:rPr>
                <w:rFonts w:hint="eastAsia" w:ascii="仿宋_GB2312" w:hAnsi="Arial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auto"/>
                <w:kern w:val="0"/>
                <w:sz w:val="24"/>
                <w:szCs w:val="24"/>
              </w:rPr>
              <w:t>增强了蔡甸区人民幸福感和获得感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D4339B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auto"/>
                <w:kern w:val="0"/>
                <w:sz w:val="24"/>
                <w:szCs w:val="24"/>
              </w:rPr>
              <w:t>增强</w:t>
            </w:r>
          </w:p>
        </w:tc>
        <w:tc>
          <w:tcPr>
            <w:tcW w:w="7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C5FD49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auto"/>
                <w:kern w:val="0"/>
                <w:sz w:val="24"/>
                <w:szCs w:val="24"/>
              </w:rPr>
              <w:t>增强</w:t>
            </w:r>
          </w:p>
        </w:tc>
        <w:tc>
          <w:tcPr>
            <w:tcW w:w="115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5CCE96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auto"/>
                <w:kern w:val="0"/>
                <w:sz w:val="24"/>
                <w:szCs w:val="24"/>
              </w:rPr>
              <w:t>增强</w:t>
            </w:r>
          </w:p>
        </w:tc>
        <w:tc>
          <w:tcPr>
            <w:tcW w:w="102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36085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行业标准</w:t>
            </w:r>
          </w:p>
        </w:tc>
      </w:tr>
      <w:tr w14:paraId="445FBB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77931F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755DE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满意度</w:t>
            </w:r>
          </w:p>
        </w:tc>
        <w:tc>
          <w:tcPr>
            <w:tcW w:w="11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8F7F9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群众满意度</w:t>
            </w:r>
          </w:p>
        </w:tc>
        <w:tc>
          <w:tcPr>
            <w:tcW w:w="180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A233F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群众满意度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6B4A73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33CC"/>
                <w:kern w:val="0"/>
                <w:sz w:val="18"/>
                <w:szCs w:val="18"/>
              </w:rPr>
              <w:t>≥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</w:rPr>
              <w:t>95%</w:t>
            </w:r>
          </w:p>
        </w:tc>
        <w:tc>
          <w:tcPr>
            <w:tcW w:w="7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46BF26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33CC"/>
                <w:kern w:val="0"/>
                <w:sz w:val="18"/>
                <w:szCs w:val="18"/>
              </w:rPr>
              <w:t>≥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</w:rPr>
              <w:t>95%</w:t>
            </w:r>
          </w:p>
        </w:tc>
        <w:tc>
          <w:tcPr>
            <w:tcW w:w="115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F58925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33CC"/>
                <w:kern w:val="0"/>
                <w:sz w:val="24"/>
                <w:szCs w:val="24"/>
              </w:rPr>
              <w:t>≥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95%</w:t>
            </w:r>
          </w:p>
        </w:tc>
        <w:tc>
          <w:tcPr>
            <w:tcW w:w="102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932BC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行业标准</w:t>
            </w:r>
          </w:p>
        </w:tc>
      </w:tr>
      <w:tr w14:paraId="1D1DA7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0FB6C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FE3EFA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07D43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80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B6E6C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682DCC">
            <w:pPr>
              <w:widowControl/>
              <w:snapToGrid w:val="0"/>
              <w:jc w:val="left"/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C93C7A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5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9D294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2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4AA53A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</w:tbl>
    <w:p w14:paraId="7133EBC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ZmZTBjZDhkNmUxYjg2OGNmYTk3Yzk1MmNlZmY5NjIifQ=="/>
  </w:docVars>
  <w:rsids>
    <w:rsidRoot w:val="004D536E"/>
    <w:rsid w:val="004D536E"/>
    <w:rsid w:val="00B11BBC"/>
    <w:rsid w:val="00CA6BFF"/>
    <w:rsid w:val="00D31A6C"/>
    <w:rsid w:val="00F8283B"/>
    <w:rsid w:val="024D0FA5"/>
    <w:rsid w:val="02C73825"/>
    <w:rsid w:val="14D57587"/>
    <w:rsid w:val="162662CA"/>
    <w:rsid w:val="25F8629E"/>
    <w:rsid w:val="28B12225"/>
    <w:rsid w:val="2CF355AC"/>
    <w:rsid w:val="32702CC9"/>
    <w:rsid w:val="3322492C"/>
    <w:rsid w:val="37ED358D"/>
    <w:rsid w:val="38343600"/>
    <w:rsid w:val="390376CB"/>
    <w:rsid w:val="3958230E"/>
    <w:rsid w:val="39D454EF"/>
    <w:rsid w:val="41F0350B"/>
    <w:rsid w:val="4492210C"/>
    <w:rsid w:val="4DE753D0"/>
    <w:rsid w:val="53A217B5"/>
    <w:rsid w:val="54EE545D"/>
    <w:rsid w:val="576572C4"/>
    <w:rsid w:val="5D387A64"/>
    <w:rsid w:val="5E676A36"/>
    <w:rsid w:val="612953E3"/>
    <w:rsid w:val="64764B06"/>
    <w:rsid w:val="66BF255F"/>
    <w:rsid w:val="6B6726BB"/>
    <w:rsid w:val="6B757FC6"/>
    <w:rsid w:val="6BFF31F8"/>
    <w:rsid w:val="70657FA3"/>
    <w:rsid w:val="72723DF4"/>
    <w:rsid w:val="7A1063FB"/>
    <w:rsid w:val="7BCF7831"/>
    <w:rsid w:val="7FEDD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1421</Words>
  <Characters>1617</Characters>
  <Lines>13</Lines>
  <Paragraphs>3</Paragraphs>
  <TotalTime>0</TotalTime>
  <ScaleCrop>false</ScaleCrop>
  <LinksUpToDate>false</LinksUpToDate>
  <CharactersWithSpaces>1775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lenovo</dc:creator>
  <cp:lastModifiedBy>Ｍ</cp:lastModifiedBy>
  <cp:lastPrinted>2024-11-26T08:20:00Z</cp:lastPrinted>
  <dcterms:modified xsi:type="dcterms:W3CDTF">2025-12-12T07:08:38Z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A47C5D84466944459C64BDB1DA87701B</vt:lpwstr>
  </property>
  <property fmtid="{D5CDD505-2E9C-101B-9397-08002B2CF9AE}" pid="4" name="KSOTemplateDocerSaveRecord">
    <vt:lpwstr>eyJoZGlkIjoiOTZmZTBjZDhkNmUxYjg2OGNmYTk3Yzk1MmNlZmY5NjIiLCJ1c2VySWQiOiI1MTIwODQ0OTgifQ==</vt:lpwstr>
  </property>
</Properties>
</file>