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5BF0C">
      <w:pPr>
        <w:pStyle w:val="2"/>
        <w:snapToGrid w:val="0"/>
        <w:spacing w:before="360" w:after="240" w:line="640" w:lineRule="atLeast"/>
        <w:jc w:val="center"/>
        <w:rPr>
          <w:rFonts w:ascii="黑体" w:eastAsia="黑体"/>
          <w:b w:val="0"/>
          <w:szCs w:val="44"/>
        </w:rPr>
      </w:pPr>
      <w:r>
        <w:rPr>
          <w:rFonts w:hint="eastAsia" w:ascii="黑体" w:eastAsia="黑体"/>
          <w:b w:val="0"/>
          <w:szCs w:val="44"/>
        </w:rPr>
        <w:t>部门项目申报表(含绩效目标)</w:t>
      </w:r>
    </w:p>
    <w:p w14:paraId="7230E713">
      <w:r>
        <w:rPr>
          <w:rFonts w:hint="eastAsia"/>
        </w:rPr>
        <w:t xml:space="preserve"> </w:t>
      </w:r>
      <w:r>
        <w:rPr>
          <w:rFonts w:hint="eastAsia" w:ascii="仿宋_GB2312" w:hAnsi="仿宋_GB2312" w:eastAsia="仿宋_GB2312" w:cs="仿宋_GB2312"/>
          <w:szCs w:val="21"/>
        </w:rPr>
        <w:t xml:space="preserve">申报日期： </w:t>
      </w:r>
      <w:r>
        <w:rPr>
          <w:rFonts w:hint="eastAsia"/>
        </w:rPr>
        <w:t xml:space="preserve">                                                          </w:t>
      </w:r>
      <w:r>
        <w:rPr>
          <w:rFonts w:hint="eastAsia" w:ascii="仿宋_GB2312" w:hAnsi="仿宋_GB2312" w:eastAsia="仿宋_GB2312" w:cs="仿宋_GB2312"/>
        </w:rPr>
        <w:t>单位：万元</w:t>
      </w:r>
    </w:p>
    <w:tbl>
      <w:tblPr>
        <w:tblStyle w:val="6"/>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860"/>
        <w:gridCol w:w="286"/>
        <w:gridCol w:w="423"/>
        <w:gridCol w:w="723"/>
        <w:gridCol w:w="1146"/>
        <w:gridCol w:w="1015"/>
      </w:tblGrid>
      <w:tr w14:paraId="47E35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A6777A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ED9C1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城关公交运营补贴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C9BF1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C037F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064T000000</w:t>
            </w:r>
            <w:r>
              <w:rPr>
                <w:rFonts w:hint="eastAsia" w:ascii="仿宋_GB2312" w:hAnsi="Arial" w:eastAsia="仿宋_GB2312" w:cs="Arial"/>
                <w:color w:val="000000"/>
                <w:kern w:val="0"/>
                <w:sz w:val="24"/>
                <w:szCs w:val="24"/>
                <w:lang w:val="en-US" w:eastAsia="zh-CN"/>
              </w:rPr>
              <w:t>113</w:t>
            </w:r>
            <w:r>
              <w:rPr>
                <w:rFonts w:hint="eastAsia" w:ascii="仿宋_GB2312" w:hAnsi="Arial" w:eastAsia="仿宋_GB2312" w:cs="Arial"/>
                <w:color w:val="000000"/>
                <w:kern w:val="0"/>
                <w:sz w:val="24"/>
                <w:szCs w:val="24"/>
              </w:rPr>
              <w:t>　</w:t>
            </w:r>
          </w:p>
        </w:tc>
      </w:tr>
      <w:tr w14:paraId="110439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DE8E2B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55756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D553E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2FE9C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　</w:t>
            </w:r>
          </w:p>
        </w:tc>
      </w:tr>
      <w:tr w14:paraId="5D0FBA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334A36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90149C">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陈超</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7398F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A88E6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69810467</w:t>
            </w:r>
          </w:p>
        </w:tc>
      </w:tr>
      <w:tr w14:paraId="5657D2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2FD308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AEEA4F">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w:t>
            </w:r>
          </w:p>
        </w:tc>
      </w:tr>
      <w:tr w14:paraId="575356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A3502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87F0B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补助补贴类类</w:t>
            </w:r>
          </w:p>
        </w:tc>
      </w:tr>
      <w:tr w14:paraId="68667F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61FCB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2A2BA4">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E614E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2825A2">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p>
        </w:tc>
      </w:tr>
      <w:tr w14:paraId="5AA3CC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6D07347">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76218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武汉市公共交通集团有限责任公司与武汉市蔡甸区人民政府签订《蔡甸区城乡公交一体化改造》协议</w:t>
            </w:r>
          </w:p>
        </w:tc>
      </w:tr>
      <w:tr w14:paraId="5E178D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394218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20EA46">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根据《武汉市公交企业成本规制实施办法》（武财企[2013]762号）、《武汉市公交企业成本规则实施办法的补充通知》（武交[2015]187号）文件，对乙方运营的公交路线）运营亏损由甲方承担，按照市财政局委托的第三方审计机构出具的成本规制审核结果进行补贴结算。运营补贴采取每年四次按季度进行预拨，年终依据审计结果进行结算。</w:t>
            </w:r>
          </w:p>
        </w:tc>
      </w:tr>
      <w:tr w14:paraId="73C3A5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6372AA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196EAB">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1200</w:t>
            </w:r>
            <w:r>
              <w:rPr>
                <w:rFonts w:hint="eastAsia" w:ascii="仿宋_GB2312" w:hAnsi="Arial" w:eastAsia="仿宋_GB2312" w:cs="Arial"/>
                <w:color w:val="000000"/>
                <w:kern w:val="0"/>
                <w:sz w:val="24"/>
                <w:szCs w:val="24"/>
              </w:rPr>
              <w:t>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80976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0F17E8">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1200</w:t>
            </w:r>
            <w:r>
              <w:rPr>
                <w:rFonts w:hint="eastAsia" w:ascii="仿宋_GB2312" w:hAnsi="Arial" w:eastAsia="仿宋_GB2312" w:cs="Arial"/>
                <w:color w:val="000000"/>
                <w:kern w:val="0"/>
                <w:sz w:val="24"/>
                <w:szCs w:val="24"/>
              </w:rPr>
              <w:t>　</w:t>
            </w:r>
          </w:p>
        </w:tc>
      </w:tr>
      <w:tr w14:paraId="4070E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531407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63D364">
            <w:pPr>
              <w:widowControl/>
              <w:snapToGrid w:val="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2023年预算1664万元</w:t>
            </w:r>
            <w:r>
              <w:rPr>
                <w:rFonts w:hint="eastAsia" w:ascii="仿宋_GB2312" w:hAnsi="Arial" w:eastAsia="仿宋_GB2312" w:cs="Arial"/>
                <w:color w:val="000000"/>
                <w:kern w:val="0"/>
                <w:sz w:val="24"/>
                <w:szCs w:val="24"/>
                <w:lang w:val="en-US" w:eastAsia="zh-CN"/>
              </w:rPr>
              <w:t>,2024年申报预算1500万元，2024年申报预算1200万元。</w:t>
            </w:r>
          </w:p>
        </w:tc>
      </w:tr>
      <w:tr w14:paraId="61792E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4952E59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B0055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3673D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04E03B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79794DA">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9D0D4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F381FF">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1200</w:t>
            </w:r>
            <w:r>
              <w:rPr>
                <w:rFonts w:hint="eastAsia" w:ascii="仿宋_GB2312" w:eastAsia="仿宋_GB2312" w:cs="Arial"/>
                <w:color w:val="000000"/>
                <w:kern w:val="0"/>
                <w:sz w:val="24"/>
                <w:szCs w:val="24"/>
              </w:rPr>
              <w:t>　</w:t>
            </w:r>
          </w:p>
        </w:tc>
      </w:tr>
      <w:tr w14:paraId="006539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1E47BDDB">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7F6B9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961BEB">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lang w:val="en-US" w:eastAsia="zh-CN"/>
              </w:rPr>
              <w:t>1200</w:t>
            </w:r>
            <w:r>
              <w:rPr>
                <w:rFonts w:hint="eastAsia" w:ascii="仿宋_GB2312" w:eastAsia="仿宋_GB2312" w:cs="Arial"/>
                <w:color w:val="000000"/>
                <w:kern w:val="0"/>
                <w:sz w:val="24"/>
                <w:szCs w:val="24"/>
              </w:rPr>
              <w:t>　</w:t>
            </w:r>
          </w:p>
        </w:tc>
      </w:tr>
      <w:tr w14:paraId="1C9761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66EE233">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89AD3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35263B">
            <w:pPr>
              <w:widowControl/>
              <w:snapToGrid w:val="0"/>
              <w:jc w:val="right"/>
              <w:rPr>
                <w:rFonts w:hint="default" w:ascii="仿宋_GB2312" w:hAnsi="Calibri" w:eastAsia="仿宋_GB2312" w:cs="Arial"/>
                <w:color w:val="000000"/>
                <w:kern w:val="0"/>
                <w:sz w:val="24"/>
                <w:szCs w:val="24"/>
                <w:lang w:val="en-US" w:eastAsia="zh-CN"/>
              </w:rPr>
            </w:pPr>
            <w:r>
              <w:rPr>
                <w:rFonts w:hint="eastAsia" w:ascii="仿宋_GB2312" w:eastAsia="仿宋_GB2312" w:cs="Arial"/>
                <w:color w:val="000000"/>
                <w:kern w:val="0"/>
                <w:sz w:val="24"/>
                <w:szCs w:val="24"/>
                <w:lang w:val="en-US" w:eastAsia="zh-CN"/>
              </w:rPr>
              <w:t>1200</w:t>
            </w:r>
          </w:p>
        </w:tc>
      </w:tr>
      <w:tr w14:paraId="56019F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93ED0CD">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02DB8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31E5B1">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4435FA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8BBE688">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4D84F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AE6BC7">
            <w:pPr>
              <w:widowControl/>
              <w:snapToGrid w:val="0"/>
              <w:jc w:val="right"/>
              <w:rPr>
                <w:rFonts w:ascii="仿宋_GB2312" w:hAnsi="Arial" w:eastAsia="仿宋_GB2312" w:cs="Arial"/>
                <w:color w:val="000000"/>
                <w:kern w:val="0"/>
                <w:sz w:val="24"/>
                <w:szCs w:val="24"/>
              </w:rPr>
            </w:pPr>
          </w:p>
        </w:tc>
      </w:tr>
      <w:tr w14:paraId="5576E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0CB1343B">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7BA79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E0883A">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253D1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64EE37C5">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410BE9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4BDBBF">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2890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62CC33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347AD1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DFE1FA8">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D234A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DD3A7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DD305C6">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BD04F0">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9DDB68">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237626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01929DF">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城关公交运营补贴</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FA86E0">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城关公交运营补贴</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7D4AC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其他对企业的补贴</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6D9B89">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Cs w:val="21"/>
                <w:lang w:val="en-US" w:eastAsia="zh-CN"/>
              </w:rPr>
              <w:t>1200</w:t>
            </w: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A53CDE">
            <w:pPr>
              <w:widowControl/>
              <w:snapToGrid w:val="0"/>
              <w:jc w:val="left"/>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18"/>
                <w:szCs w:val="18"/>
                <w:lang w:val="en-US" w:eastAsia="zh-CN"/>
              </w:rPr>
              <w:t>2025年蔡城公交预计支出包括保险支出91.19万元，折旧费314.02万，驾驶员工资599.4万元，维修费58.61万元，轮胎损耗费33.6万元，社劳保险费用196.22万元，其他费用32.64万元，管理人员工资144万元，企业管理费21.32万元，营业税9万元。</w:t>
            </w:r>
            <w:bookmarkStart w:id="0" w:name="_GoBack"/>
            <w:bookmarkEnd w:id="0"/>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1068E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208AA7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E60F11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BB7C42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86C0B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27EDB5">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1961C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D9CCD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11A784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F5B196A">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3899DA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7C616B7">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89B269">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1CC6A0">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1C84631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74AD80F">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20A3E8">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9A0812E">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0FF1F5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067D4646">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58059C4C">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1962F25">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693CAE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2FC42AB">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50852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65BD56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F7025D">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518BF4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938986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城关公交运营补贴</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28C0F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确保蔡甸关公交的正常运营。</w:t>
            </w:r>
          </w:p>
        </w:tc>
      </w:tr>
      <w:tr w14:paraId="2D3A4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E61833">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75B869">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1CD186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8C60E5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F39DF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8EA45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E9B21D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E157A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7A31FB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AADEEFB">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4C0134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FA012F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EEDBC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E2F79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0ED2F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BB11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CD0ACB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6DD97D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left w:val="single" w:color="000000" w:sz="4" w:space="0"/>
              <w:right w:val="single" w:color="000000" w:sz="4" w:space="0"/>
            </w:tcBorders>
            <w:tcMar>
              <w:top w:w="0" w:type="dxa"/>
              <w:left w:w="57" w:type="dxa"/>
              <w:bottom w:w="0" w:type="dxa"/>
              <w:right w:w="57" w:type="dxa"/>
            </w:tcMar>
            <w:vAlign w:val="center"/>
          </w:tcPr>
          <w:p w14:paraId="66624EC2">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auto"/>
                <w:kern w:val="0"/>
                <w:sz w:val="24"/>
                <w:szCs w:val="24"/>
              </w:rPr>
              <w:t>城关公交运营补贴</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555F728">
            <w:pPr>
              <w:widowControl/>
              <w:snapToGrid w:val="0"/>
              <w:jc w:val="left"/>
              <w:rPr>
                <w:rFonts w:ascii="仿宋_GB2312" w:hAnsi="宋体" w:eastAsia="仿宋_GB2312" w:cs="Arial"/>
                <w:color w:val="000000"/>
                <w:kern w:val="0"/>
                <w:sz w:val="24"/>
                <w:szCs w:val="24"/>
              </w:rPr>
            </w:pPr>
          </w:p>
          <w:p w14:paraId="347AD175">
            <w:pPr>
              <w:widowControl/>
              <w:snapToGrid w:val="0"/>
              <w:jc w:val="left"/>
              <w:rPr>
                <w:rFonts w:ascii="仿宋_GB2312" w:hAnsi="宋体" w:eastAsia="仿宋_GB2312" w:cs="Arial"/>
                <w:color w:val="000000"/>
                <w:kern w:val="0"/>
                <w:sz w:val="24"/>
                <w:szCs w:val="24"/>
              </w:rPr>
            </w:pPr>
          </w:p>
          <w:p w14:paraId="1C03E34E">
            <w:pPr>
              <w:widowControl/>
              <w:snapToGrid w:val="0"/>
              <w:ind w:firstLine="240" w:firstLineChars="10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56BE2D9">
            <w:pPr>
              <w:widowControl/>
              <w:snapToGrid w:val="0"/>
              <w:ind w:firstLine="1440" w:firstLineChars="60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xml:space="preserve"> 产出质量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53F743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全年运营里程完成率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53A0A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33F8FC">
            <w:pPr>
              <w:widowControl/>
              <w:snapToGrid w:val="0"/>
              <w:jc w:val="center"/>
              <w:rPr>
                <w:rFonts w:hint="eastAsia" w:ascii="仿宋_GB2312" w:hAnsi="宋体" w:eastAsia="仿宋_GB2312" w:cs="Arial"/>
                <w:color w:val="000000"/>
                <w:kern w:val="0"/>
                <w:sz w:val="21"/>
                <w:szCs w:val="21"/>
                <w:lang w:eastAsia="zh-CN"/>
              </w:rPr>
            </w:pPr>
            <w:r>
              <w:rPr>
                <w:rFonts w:hint="eastAsia" w:ascii="仿宋_GB2312" w:hAnsi="宋体" w:eastAsia="仿宋_GB2312" w:cs="Arial"/>
                <w:color w:val="000000"/>
                <w:kern w:val="0"/>
                <w:sz w:val="21"/>
                <w:szCs w:val="21"/>
                <w:lang w:eastAsia="zh-CN"/>
              </w:rPr>
              <w:t>行业标准</w:t>
            </w:r>
          </w:p>
        </w:tc>
      </w:tr>
      <w:tr w14:paraId="68A6EB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B2E11A8">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21E9CFFB">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0D87C30B">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0D8C9B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全年发车班次数完成率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6B996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7E987C">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39F4B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DFE3DC5">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4D703101">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55051E8B">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FB0CD7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公交线路覆盖率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8EAC9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3E0EBD6">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2DA0D7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C94B86C">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26D3FAB">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19B3EDA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产出质量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C7171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发车正点率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7C7D2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D6F11D">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4105AA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47414D82">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9893D20">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5C653D8D">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42674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公交设施完好率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B4BBC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1EC2931">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16C753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A95B921">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6D19B8B">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4C6F80B5">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1D38E2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投诉处理回复率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C6EED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BB7E31">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6975D6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4E9CD4B">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0B08F1D4">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69570680">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A154C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全年载客量完成率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1181E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148B92">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0173A2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5691BF4">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53573CE5">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D8EEF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产出时效</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9E166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运营补贴资金拨付完成及时率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C8A88A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1CE559">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7045AA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FEC4D2F">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B662D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产出成本</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1D339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产出成本</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FE495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运营补贴资金成本节约率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0CB3E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55D820">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293FA8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58EEC17">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F6CB8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效果</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29BBE8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实施效益</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FC814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可持续影响</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6BDF6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0247B0">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0F437F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7F1F3C77">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A1A7D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ECE00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E052B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投诉处理满意度</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5D87A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ADEF03">
            <w:pPr>
              <w:widowControl/>
              <w:snapToGrid w:val="0"/>
              <w:jc w:val="center"/>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0D322E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344EF1E">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1A4177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CE2B0C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D5C788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34F3CC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812"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2EE571AC">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55EC094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578"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77B691C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78508A2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2D1E5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128A6F3F">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6AC3457E">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3F8D6310">
            <w:pPr>
              <w:widowControl/>
              <w:jc w:val="left"/>
              <w:rPr>
                <w:rFonts w:ascii="仿宋_GB2312" w:hAnsi="宋体" w:eastAsia="仿宋_GB2312" w:cs="Arial"/>
                <w:color w:val="000000"/>
                <w:kern w:val="0"/>
                <w:sz w:val="24"/>
                <w:szCs w:val="24"/>
              </w:rPr>
            </w:pPr>
          </w:p>
        </w:tc>
        <w:tc>
          <w:tcPr>
            <w:tcW w:w="1812" w:type="dxa"/>
            <w:gridSpan w:val="2"/>
            <w:vMerge w:val="continue"/>
            <w:tcBorders>
              <w:top w:val="single" w:color="auto" w:sz="4" w:space="0"/>
              <w:left w:val="single" w:color="auto" w:sz="4" w:space="0"/>
              <w:bottom w:val="single" w:color="auto" w:sz="4" w:space="0"/>
              <w:right w:val="single" w:color="auto" w:sz="4" w:space="0"/>
            </w:tcBorders>
            <w:vAlign w:val="center"/>
          </w:tcPr>
          <w:p w14:paraId="0F49D74B">
            <w:pPr>
              <w:widowControl/>
              <w:jc w:val="left"/>
              <w:rPr>
                <w:rFonts w:ascii="仿宋_GB2312" w:hAnsi="宋体" w:eastAsia="仿宋_GB2312" w:cs="Arial"/>
                <w:color w:val="000000"/>
                <w:kern w:val="0"/>
                <w:sz w:val="24"/>
                <w:szCs w:val="24"/>
              </w:rPr>
            </w:pPr>
          </w:p>
        </w:tc>
        <w:tc>
          <w:tcPr>
            <w:tcW w:w="709"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F11C96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72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8542AE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4F540D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2F1904B5">
            <w:pPr>
              <w:widowControl/>
              <w:jc w:val="left"/>
              <w:rPr>
                <w:rFonts w:ascii="仿宋_GB2312" w:hAnsi="宋体" w:eastAsia="仿宋_GB2312" w:cs="Arial"/>
                <w:color w:val="000000"/>
                <w:kern w:val="0"/>
                <w:sz w:val="24"/>
                <w:szCs w:val="24"/>
              </w:rPr>
            </w:pPr>
          </w:p>
        </w:tc>
      </w:tr>
      <w:tr w14:paraId="575D9F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000000" w:sz="4" w:space="0"/>
              <w:left w:val="single" w:color="000000" w:sz="4" w:space="0"/>
              <w:right w:val="single" w:color="000000" w:sz="4" w:space="0"/>
            </w:tcBorders>
            <w:tcMar>
              <w:top w:w="0" w:type="dxa"/>
              <w:left w:w="57" w:type="dxa"/>
              <w:bottom w:w="0" w:type="dxa"/>
              <w:right w:w="57" w:type="dxa"/>
            </w:tcMar>
            <w:vAlign w:val="center"/>
          </w:tcPr>
          <w:p w14:paraId="2A3803D8">
            <w:pPr>
              <w:widowControl/>
              <w:snapToGrid w:val="0"/>
              <w:jc w:val="left"/>
              <w:rPr>
                <w:rFonts w:ascii="仿宋_GB2312" w:hAnsi="宋体" w:eastAsia="仿宋_GB2312" w:cs="Arial"/>
                <w:color w:val="auto"/>
                <w:kern w:val="0"/>
                <w:sz w:val="24"/>
                <w:szCs w:val="24"/>
              </w:rPr>
            </w:pPr>
            <w:r>
              <w:rPr>
                <w:rFonts w:hint="eastAsia" w:ascii="仿宋_GB2312" w:hAnsi="Arial" w:eastAsia="仿宋_GB2312" w:cs="Arial"/>
                <w:color w:val="auto"/>
                <w:kern w:val="0"/>
                <w:sz w:val="24"/>
                <w:szCs w:val="24"/>
              </w:rPr>
              <w:t>城关公交运营补贴</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DC74AD6">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C714B20">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产出数量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A01AFB">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全年运营里程完成率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FF424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39525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C393CF">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0895FB">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4EB174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47DA896D">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2192265">
            <w:pPr>
              <w:widowControl/>
              <w:snapToGrid w:val="0"/>
              <w:jc w:val="left"/>
              <w:rPr>
                <w:rFonts w:ascii="仿宋_GB2312" w:hAnsi="宋体" w:eastAsia="仿宋_GB2312" w:cs="Arial"/>
                <w:color w:val="auto"/>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307EAAB5">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91EC6C">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全年发车班次数完成率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CFACE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CDC24D">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8DDDFA0">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16ADAF">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280A7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692BDE5">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0E4B0360">
            <w:pPr>
              <w:widowControl/>
              <w:snapToGrid w:val="0"/>
              <w:jc w:val="left"/>
              <w:rPr>
                <w:rFonts w:ascii="仿宋_GB2312" w:hAnsi="宋体" w:eastAsia="仿宋_GB2312" w:cs="Arial"/>
                <w:color w:val="auto"/>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033187BA">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075DA8">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公交线路覆盖率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BAC4401">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D55A94E">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4731A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1F1E11">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124755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08476D3">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73659248">
            <w:pPr>
              <w:widowControl/>
              <w:snapToGrid w:val="0"/>
              <w:jc w:val="left"/>
              <w:rPr>
                <w:rFonts w:ascii="仿宋_GB2312" w:hAnsi="宋体" w:eastAsia="仿宋_GB2312" w:cs="Arial"/>
                <w:color w:val="auto"/>
                <w:kern w:val="0"/>
                <w:sz w:val="24"/>
                <w:szCs w:val="24"/>
              </w:rPr>
            </w:pP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0CB13994">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产出质量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D00A59">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发车正点率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7BFB0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245171A">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4B2BC8">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DB027A">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0BD456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B65D99D">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2EE79991">
            <w:pPr>
              <w:widowControl/>
              <w:snapToGrid w:val="0"/>
              <w:jc w:val="left"/>
              <w:rPr>
                <w:rFonts w:ascii="仿宋_GB2312" w:hAnsi="宋体" w:eastAsia="仿宋_GB2312" w:cs="Arial"/>
                <w:color w:val="auto"/>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62A1D637">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3B2B593">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公交设施完好率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1066C7">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5FE6485">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735C8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91337C">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196908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604BF93">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B34E1CB">
            <w:pPr>
              <w:widowControl/>
              <w:snapToGrid w:val="0"/>
              <w:jc w:val="left"/>
              <w:rPr>
                <w:rFonts w:ascii="仿宋_GB2312" w:hAnsi="宋体" w:eastAsia="仿宋_GB2312" w:cs="Arial"/>
                <w:color w:val="auto"/>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570DF414">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DAB42F">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投诉处理回复率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28B96F">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E1FA6AD">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A422E93">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243F2B">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552DB8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D813D6B">
            <w:pPr>
              <w:widowControl/>
              <w:snapToGrid w:val="0"/>
              <w:jc w:val="left"/>
              <w:rPr>
                <w:rFonts w:ascii="仿宋_GB2312" w:hAnsi="宋体" w:eastAsia="仿宋_GB2312" w:cs="Arial"/>
                <w:color w:val="auto"/>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6EFBEAED">
            <w:pPr>
              <w:widowControl/>
              <w:snapToGrid w:val="0"/>
              <w:jc w:val="left"/>
              <w:rPr>
                <w:rFonts w:ascii="仿宋_GB2312" w:hAnsi="宋体" w:eastAsia="仿宋_GB2312" w:cs="Arial"/>
                <w:color w:val="auto"/>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05D2F13E">
            <w:pPr>
              <w:widowControl/>
              <w:snapToGrid w:val="0"/>
              <w:jc w:val="left"/>
              <w:rPr>
                <w:rFonts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09D70B">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全年载客量完成率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2BA38C0">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CFBB4F">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59224C">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35C18C">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6AFC29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EFB20E9">
            <w:pPr>
              <w:widowControl/>
              <w:snapToGrid w:val="0"/>
              <w:jc w:val="left"/>
              <w:rPr>
                <w:rFonts w:ascii="仿宋_GB2312" w:hAnsi="宋体" w:eastAsia="仿宋_GB2312" w:cs="Arial"/>
                <w:color w:val="auto"/>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36C933CE">
            <w:pPr>
              <w:widowControl/>
              <w:snapToGrid w:val="0"/>
              <w:jc w:val="left"/>
              <w:rPr>
                <w:rFonts w:ascii="仿宋_GB2312" w:hAnsi="宋体" w:eastAsia="仿宋_GB2312" w:cs="Arial"/>
                <w:color w:val="auto"/>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4E5834">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产出成本</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B917B5">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建立考评体系，降低运营补贴资金成本</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95A4A3">
            <w:pPr>
              <w:widowControl/>
              <w:snapToGrid w:val="0"/>
              <w:jc w:val="left"/>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优化公共公交线网，减少公交线路重复,降低公交公司运营成本</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85A226">
            <w:pPr>
              <w:widowControl/>
              <w:snapToGrid w:val="0"/>
              <w:jc w:val="left"/>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优化公共公交线网，减少公交线路重复,降低公交公司运营成本</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9B7896">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auto"/>
                <w:kern w:val="0"/>
                <w:sz w:val="18"/>
                <w:szCs w:val="18"/>
              </w:rPr>
              <w:t>优化公共公交线网，减少公交线路重复,降低公交公司运营成本</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492A70">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7B02E6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0A01678D">
            <w:pPr>
              <w:widowControl/>
              <w:snapToGrid w:val="0"/>
              <w:jc w:val="left"/>
              <w:rPr>
                <w:rFonts w:ascii="仿宋_GB2312" w:hAnsi="宋体" w:eastAsia="仿宋_GB2312" w:cs="Arial"/>
                <w:color w:val="auto"/>
                <w:kern w:val="0"/>
                <w:sz w:val="24"/>
                <w:szCs w:val="24"/>
              </w:rPr>
            </w:pP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18FEF3CC">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　效果</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1539EF80">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社会效益</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DBD748">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降低居民出行成本</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B7A97C">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2F74D1B">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DB488EB">
            <w:pPr>
              <w:widowControl/>
              <w:snapToGrid w:val="0"/>
              <w:jc w:val="center"/>
              <w:rPr>
                <w:rFonts w:ascii="仿宋_GB2312" w:hAnsi="宋体" w:eastAsia="仿宋_GB2312" w:cs="Arial"/>
                <w:color w:val="auto"/>
                <w:kern w:val="0"/>
                <w:sz w:val="18"/>
                <w:szCs w:val="18"/>
              </w:rPr>
            </w:pPr>
            <w:r>
              <w:rPr>
                <w:rFonts w:hint="eastAsia" w:ascii="仿宋_GB2312" w:hAnsi="宋体" w:eastAsia="仿宋_GB2312" w:cs="Arial"/>
                <w:color w:val="auto"/>
                <w:kern w:val="0"/>
                <w:sz w:val="18"/>
                <w:szCs w:val="18"/>
              </w:rPr>
              <w:t>保证居民方便、安全出行</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1DD667B">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67DDEB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B0507EC">
            <w:pPr>
              <w:widowControl/>
              <w:snapToGrid w:val="0"/>
              <w:jc w:val="left"/>
              <w:rPr>
                <w:rFonts w:ascii="仿宋_GB2312" w:hAnsi="宋体" w:eastAsia="仿宋_GB2312" w:cs="Arial"/>
                <w:color w:val="auto"/>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163B8EF2">
            <w:pPr>
              <w:widowControl/>
              <w:snapToGrid w:val="0"/>
              <w:jc w:val="left"/>
              <w:rPr>
                <w:rFonts w:hint="eastAsia" w:ascii="仿宋_GB2312" w:hAnsi="宋体" w:eastAsia="仿宋_GB2312" w:cs="Arial"/>
                <w:color w:val="auto"/>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3C70EB81">
            <w:pPr>
              <w:widowControl/>
              <w:snapToGrid w:val="0"/>
              <w:jc w:val="left"/>
              <w:rPr>
                <w:rFonts w:hint="eastAsia" w:ascii="仿宋_GB2312" w:hAnsi="宋体" w:eastAsia="仿宋_GB2312" w:cs="Arial"/>
                <w:color w:val="auto"/>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58C651">
            <w:pPr>
              <w:widowControl/>
              <w:snapToGrid w:val="0"/>
              <w:jc w:val="left"/>
              <w:rPr>
                <w:rFonts w:hint="eastAsia"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方便居民出行</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4C8764">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B5B730">
            <w:pPr>
              <w:widowControl/>
              <w:snapToGrid w:val="0"/>
              <w:jc w:val="center"/>
              <w:rPr>
                <w:rFonts w:ascii="仿宋_GB2312" w:hAnsi="宋体" w:eastAsia="仿宋_GB2312" w:cs="Arial"/>
                <w:color w:val="auto"/>
                <w:kern w:val="0"/>
                <w:sz w:val="15"/>
                <w:szCs w:val="15"/>
              </w:rPr>
            </w:pPr>
            <w:r>
              <w:rPr>
                <w:rFonts w:hint="eastAsia" w:ascii="仿宋_GB2312" w:hAnsi="宋体" w:eastAsia="仿宋_GB2312" w:cs="Arial"/>
                <w:color w:val="auto"/>
                <w:kern w:val="0"/>
                <w:sz w:val="15"/>
                <w:szCs w:val="15"/>
              </w:rPr>
              <w:t>保证居民方便、安全出行</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78FE48">
            <w:pPr>
              <w:widowControl/>
              <w:snapToGrid w:val="0"/>
              <w:jc w:val="center"/>
              <w:rPr>
                <w:rFonts w:hint="eastAsia" w:ascii="仿宋_GB2312" w:hAnsi="宋体" w:eastAsia="仿宋_GB2312" w:cs="Arial"/>
                <w:color w:val="auto"/>
                <w:kern w:val="0"/>
                <w:sz w:val="18"/>
                <w:szCs w:val="18"/>
              </w:rPr>
            </w:pPr>
            <w:r>
              <w:rPr>
                <w:rFonts w:hint="eastAsia" w:ascii="仿宋_GB2312" w:hAnsi="宋体" w:eastAsia="仿宋_GB2312" w:cs="Arial"/>
                <w:color w:val="auto"/>
                <w:kern w:val="0"/>
                <w:sz w:val="18"/>
                <w:szCs w:val="18"/>
              </w:rPr>
              <w:t>保证居民方便、安全出行</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B860755">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r w14:paraId="289AF5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3CAB7341">
            <w:pPr>
              <w:widowControl/>
              <w:snapToGrid w:val="0"/>
              <w:jc w:val="left"/>
              <w:rPr>
                <w:rFonts w:ascii="仿宋_GB2312" w:hAnsi="宋体" w:eastAsia="仿宋_GB2312" w:cs="Arial"/>
                <w:color w:val="auto"/>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B93C24">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满意度</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14176D0">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服务对象满意度</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9874985">
            <w:pPr>
              <w:widowControl/>
              <w:snapToGrid w:val="0"/>
              <w:jc w:val="left"/>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群众满意度</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B196A9">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1"/>
                <w:szCs w:val="21"/>
              </w:rPr>
              <w:t>≥90%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255A9B">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≥90%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3448F4">
            <w:pPr>
              <w:widowControl/>
              <w:snapToGrid w:val="0"/>
              <w:jc w:val="center"/>
              <w:rPr>
                <w:rFonts w:ascii="仿宋_GB2312" w:hAnsi="宋体" w:eastAsia="仿宋_GB2312" w:cs="Arial"/>
                <w:color w:val="auto"/>
                <w:kern w:val="0"/>
                <w:sz w:val="24"/>
                <w:szCs w:val="24"/>
              </w:rPr>
            </w:pPr>
            <w:r>
              <w:rPr>
                <w:rFonts w:hint="eastAsia" w:ascii="仿宋_GB2312" w:hAnsi="宋体" w:eastAsia="仿宋_GB2312" w:cs="Arial"/>
                <w:color w:val="auto"/>
                <w:kern w:val="0"/>
                <w:sz w:val="24"/>
                <w:szCs w:val="24"/>
              </w:rPr>
              <w:t>≥90%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3ACF96">
            <w:pPr>
              <w:widowControl/>
              <w:snapToGrid w:val="0"/>
              <w:jc w:val="left"/>
              <w:rPr>
                <w:rFonts w:ascii="仿宋_GB2312" w:hAnsi="宋体" w:eastAsia="仿宋_GB2312" w:cs="Arial"/>
                <w:color w:val="auto"/>
                <w:kern w:val="0"/>
                <w:sz w:val="18"/>
                <w:szCs w:val="18"/>
              </w:rPr>
            </w:pPr>
            <w:r>
              <w:rPr>
                <w:rFonts w:hint="eastAsia" w:ascii="仿宋_GB2312" w:hAnsi="宋体" w:eastAsia="仿宋_GB2312" w:cs="Arial"/>
                <w:color w:val="000000"/>
                <w:kern w:val="0"/>
                <w:sz w:val="18"/>
                <w:szCs w:val="18"/>
                <w:lang w:eastAsia="zh-CN"/>
              </w:rPr>
              <w:t>行业标准</w:t>
            </w:r>
          </w:p>
        </w:tc>
      </w:tr>
    </w:tbl>
    <w:p w14:paraId="3B3445C1">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mZTBjZDhkNmUxYjg2OGNmYTk3Yzk1MmNlZmY5NjIifQ=="/>
  </w:docVars>
  <w:rsids>
    <w:rsidRoot w:val="00666755"/>
    <w:rsid w:val="00386ACB"/>
    <w:rsid w:val="00573406"/>
    <w:rsid w:val="006026A0"/>
    <w:rsid w:val="00666755"/>
    <w:rsid w:val="00987C82"/>
    <w:rsid w:val="00A23320"/>
    <w:rsid w:val="00F260FE"/>
    <w:rsid w:val="06F439C4"/>
    <w:rsid w:val="07996697"/>
    <w:rsid w:val="0C3D371B"/>
    <w:rsid w:val="18EE4ED2"/>
    <w:rsid w:val="257A534C"/>
    <w:rsid w:val="32B94126"/>
    <w:rsid w:val="33797E16"/>
    <w:rsid w:val="35ED10F0"/>
    <w:rsid w:val="3A3154E3"/>
    <w:rsid w:val="3AEC2A05"/>
    <w:rsid w:val="40BE4A97"/>
    <w:rsid w:val="443F3CE6"/>
    <w:rsid w:val="468F45D6"/>
    <w:rsid w:val="49585E6C"/>
    <w:rsid w:val="4DDA6E1D"/>
    <w:rsid w:val="4E2B0E69"/>
    <w:rsid w:val="5303742F"/>
    <w:rsid w:val="530A1A68"/>
    <w:rsid w:val="5A2F695B"/>
    <w:rsid w:val="5A7B31BD"/>
    <w:rsid w:val="65AC1191"/>
    <w:rsid w:val="66BF255F"/>
    <w:rsid w:val="6A271318"/>
    <w:rsid w:val="6A9618D0"/>
    <w:rsid w:val="6F9D2E79"/>
    <w:rsid w:val="7B1E564A"/>
    <w:rsid w:val="7FEDD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9"/>
    <w:qFormat/>
    <w:uiPriority w:val="0"/>
    <w:pPr>
      <w:jc w:val="left"/>
    </w:pPr>
  </w:style>
  <w:style w:type="paragraph" w:styleId="4">
    <w:name w:val="Balloon Text"/>
    <w:basedOn w:val="1"/>
    <w:link w:val="11"/>
    <w:uiPriority w:val="0"/>
    <w:rPr>
      <w:sz w:val="18"/>
      <w:szCs w:val="18"/>
    </w:rPr>
  </w:style>
  <w:style w:type="paragraph" w:styleId="5">
    <w:name w:val="annotation subject"/>
    <w:basedOn w:val="3"/>
    <w:next w:val="3"/>
    <w:link w:val="10"/>
    <w:autoRedefine/>
    <w:qFormat/>
    <w:uiPriority w:val="0"/>
    <w:rPr>
      <w:b/>
      <w:bCs/>
    </w:rPr>
  </w:style>
  <w:style w:type="character" w:styleId="8">
    <w:name w:val="annotation reference"/>
    <w:basedOn w:val="7"/>
    <w:autoRedefine/>
    <w:qFormat/>
    <w:uiPriority w:val="0"/>
    <w:rPr>
      <w:sz w:val="21"/>
      <w:szCs w:val="21"/>
    </w:rPr>
  </w:style>
  <w:style w:type="character" w:customStyle="1" w:styleId="9">
    <w:name w:val="批注文字 Char"/>
    <w:basedOn w:val="7"/>
    <w:link w:val="3"/>
    <w:qFormat/>
    <w:uiPriority w:val="0"/>
    <w:rPr>
      <w:rFonts w:ascii="Times New Roman" w:hAnsi="Times New Roman" w:eastAsia="宋体" w:cs="Times New Roman"/>
      <w:kern w:val="2"/>
      <w:sz w:val="21"/>
    </w:rPr>
  </w:style>
  <w:style w:type="character" w:customStyle="1" w:styleId="10">
    <w:name w:val="批注主题 Char"/>
    <w:basedOn w:val="9"/>
    <w:link w:val="5"/>
    <w:uiPriority w:val="0"/>
    <w:rPr>
      <w:b/>
      <w:bCs/>
    </w:rPr>
  </w:style>
  <w:style w:type="character" w:customStyle="1" w:styleId="11">
    <w:name w:val="批注框文本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1084</Words>
  <Characters>1240</Characters>
  <Lines>11</Lines>
  <Paragraphs>3</Paragraphs>
  <TotalTime>13</TotalTime>
  <ScaleCrop>false</ScaleCrop>
  <LinksUpToDate>false</LinksUpToDate>
  <CharactersWithSpaces>1350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dcterms:modified xsi:type="dcterms:W3CDTF">2024-12-30T07:33:17Z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A47C5D84466944459C64BDB1DA87701B</vt:lpwstr>
  </property>
  <property fmtid="{D5CDD505-2E9C-101B-9397-08002B2CF9AE}" pid="4" name="KSOTemplateDocerSaveRecord">
    <vt:lpwstr>eyJoZGlkIjoiOTZmZTBjZDhkNmUxYjg2OGNmYTk3Yzk1MmNlZmY5NjIifQ==</vt:lpwstr>
  </property>
</Properties>
</file>