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申报日期</w:t>
      </w:r>
      <w:r>
        <w:rPr>
          <w:rFonts w:hint="eastAsia"/>
          <w:lang w:val="en-US" w:eastAsia="zh-CN"/>
        </w:rPr>
        <w:t xml:space="preserve">2024. 10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禁捕退补、非法采砂和水上安全经费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</w:rPr>
              <w:t>42011425064T000000106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蔡甸区交通运输局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蔡甸区交通运输综合执法大队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徐文斌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13100655988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补贴补助类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</w:t>
            </w: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</w:t>
            </w: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根据武汉市人民政府下发《武汉市河道采砂专项整治活动工作方案》，为了加强河道采砂管理保障河势稳定和防洪、通航安全及加强长江流域重点水域禁捕工作落实，协助开展清理取缔涉渔‘三无船舶’，加强水上安全监督，安全检查安全设施配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为了加强河道采砂管理保障河势稳定和防洪、通航安全及加强长江流域重点水域禁捕工作落实，协助开展清理取缔涉渔‘三无船舶’，加强水上安全监督，安全检查安全设施配备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2024年6万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禁捕退补、非法采砂和水上安全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宣传费用、联合执法费用、聘请驾驶员费用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其他商品服务支出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8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宣传横幅100元/条16条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联合执法费用500元/次*96人次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驾驶员工资2500元/月*12月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数量目标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配合执法队完成联合执法率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质量指标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依法依规严格执法率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ind w:firstLine="240" w:firstLineChars="10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严厉打击“三无”船舶非法捕捞率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成本指标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控制执法艇油耗及相关费用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成本指标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经济成本指标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经济效益指标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产出数量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配合联合执法次数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40次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产出数量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清理取缔涉渔‘三无船舶’数量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产出质量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通航事故发生率率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产出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产出质量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非法捕捞处置率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产出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产出质量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河道采砂违规违法事件下降率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≥10%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产出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产出质量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安全检查设施配备率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产出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产出时效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举报投诉事件处置及时率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效果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社会效益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保障河势稳定和防洪、通航安全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保证安全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效果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环境效益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禁捕工作落实，维护生态平衡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保持生态平衡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满意度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群众满意度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≥90%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7721CC"/>
    <w:rsid w:val="46AE6F33"/>
    <w:rsid w:val="49D00F66"/>
    <w:rsid w:val="5B1D0D31"/>
    <w:rsid w:val="62551CC0"/>
    <w:rsid w:val="66BF25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2024-11-20T01:38:02Z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A47C5D84466944459C64BDB1DA87701B</vt:lpwstr>
  </property>
</Properties>
</file>