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3EF" w:rsidRDefault="00443971">
      <w:pPr>
        <w:pStyle w:val="1"/>
        <w:snapToGrid w:val="0"/>
        <w:spacing w:before="360" w:after="240" w:line="640" w:lineRule="atLeast"/>
        <w:jc w:val="center"/>
        <w:rPr>
          <w:rFonts w:ascii="黑体" w:eastAsia="黑体"/>
          <w:b w:val="0"/>
          <w:szCs w:val="44"/>
        </w:rPr>
      </w:pPr>
      <w:r>
        <w:rPr>
          <w:rFonts w:ascii="黑体" w:eastAsia="黑体" w:hint="eastAsia"/>
          <w:b w:val="0"/>
          <w:szCs w:val="44"/>
        </w:rPr>
        <w:t>部门项目申报表(含绩效目标)</w:t>
      </w:r>
    </w:p>
    <w:p w:rsidR="00A143EF" w:rsidRDefault="00443971">
      <w:r>
        <w:rPr>
          <w:rFonts w:ascii="仿宋_GB2312" w:eastAsia="仿宋_GB2312" w:hAnsi="仿宋_GB2312" w:cs="仿宋_GB2312" w:hint="eastAsia"/>
          <w:szCs w:val="21"/>
        </w:rPr>
        <w:t xml:space="preserve">申报日期： </w:t>
      </w:r>
      <w:r>
        <w:rPr>
          <w:rFonts w:ascii="仿宋_GB2312" w:eastAsia="仿宋_GB2312" w:hAnsi="仿宋_GB2312" w:cs="仿宋_GB2312" w:hint="eastAsia"/>
        </w:rPr>
        <w:t>单位：万元</w:t>
      </w:r>
    </w:p>
    <w:tbl>
      <w:tblPr>
        <w:tblW w:w="8844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:rsidR="00A143EF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96612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运管所2025年站棚站牌维修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96612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42011425064T000000154</w:t>
            </w:r>
            <w:r w:rsidR="0044397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区交通运输局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0F2B0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区公路运输管理所　</w:t>
            </w:r>
          </w:p>
        </w:tc>
      </w:tr>
      <w:tr w:rsidR="00A143EF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5D5FCC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许宁</w:t>
            </w:r>
            <w:r w:rsidR="0044397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203BEA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13006348123</w:t>
            </w:r>
          </w:p>
        </w:tc>
      </w:tr>
      <w:tr w:rsidR="00A143EF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:rsidR="00A143EF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常年性项目</w:t>
            </w:r>
          </w:p>
        </w:tc>
      </w:tr>
      <w:tr w:rsidR="00A143EF">
        <w:trPr>
          <w:trHeight w:val="49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5D5FCC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  <w:r w:rsidR="0044397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5D5FCC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2025</w:t>
            </w:r>
            <w:r w:rsidR="0044397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674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蔡甸区人民政府与武汉市公共交通集团有限公司签订《城乡公交一体化改造协议书》</w:t>
            </w:r>
          </w:p>
        </w:tc>
      </w:tr>
      <w:tr w:rsidR="00A143EF">
        <w:trPr>
          <w:trHeight w:val="68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1、根据公交线路调整及时更换新的路线牌；2、根据人民群众出行需求及时移栽候车亭；3、及时更换破损公交站棚玻璃；4、及时新栽新开通公交线路沿线线路牌；5、及时移栽公交线路调整沿线线路牌。</w:t>
            </w:r>
          </w:p>
        </w:tc>
      </w:tr>
      <w:tr w:rsidR="00A143EF">
        <w:trPr>
          <w:trHeight w:val="61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862D79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  <w:r w:rsidR="001D7D90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0</w:t>
            </w:r>
            <w:r w:rsidR="0044397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29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D7D90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10</w:t>
            </w:r>
            <w:r w:rsidR="00443971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1020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 w:rsidP="00862D79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2023年项目预算30万；2024年</w:t>
            </w:r>
            <w:r w:rsidR="007652B4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预算</w:t>
            </w:r>
            <w:r w:rsidR="00862D79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12</w:t>
            </w:r>
            <w:r w:rsidR="00203BEA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万</w:t>
            </w:r>
            <w:r w:rsidR="007652B4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;2025年预算10万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D7D90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10</w:t>
            </w:r>
            <w:r w:rsidR="00443971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D7D90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10</w:t>
            </w:r>
            <w:r w:rsidR="00443971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D7D90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10</w:t>
            </w:r>
            <w:r w:rsidR="00443971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A143EF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righ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2292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right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:rsidR="00A143EF">
        <w:trPr>
          <w:trHeight w:val="66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表述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分类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96612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运管所2025年站</w:t>
            </w: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lastRenderedPageBreak/>
              <w:t>棚站牌维修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站牌换线路（车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>贴）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D7D90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34000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</w:t>
            </w:r>
            <w:r w:rsidR="001D7D9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400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块、单价85元/块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站牌换线路(喷绘)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D7D90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22000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</w:t>
            </w:r>
            <w:r w:rsidR="001D7D90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200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块、单价110元/块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候车亭移栽（两大一小）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862D79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13500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数量1套、单价13500元/套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候车亭玻璃更换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委托业务费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862D79">
            <w:pPr>
              <w:widowControl/>
              <w:snapToGrid w:val="0"/>
              <w:jc w:val="righ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30000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343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数量15块、单价2000/块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Calibri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 w:rsidP="00496612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6612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运管所2025年站棚站牌维修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862D79" w:rsidP="00862D7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一批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D7D90"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445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35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6612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运管所2025年站棚站牌维修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严格按质量要求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35"/>
        </w:trPr>
        <w:tc>
          <w:tcPr>
            <w:tcW w:w="2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6552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39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:rsidR="00A143EF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:rsidR="00A143EF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862D79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产出数量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实际完成率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全年公交站棚维修率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质量达标率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公交站棚完好率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产出时效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完成及时率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资金拨付完成及时率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39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项目效果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实施效益</w:t>
            </w:r>
          </w:p>
        </w:tc>
        <w:tc>
          <w:tcPr>
            <w:tcW w:w="209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全区公交线路沿线站牌覆盖率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884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:rsidR="00A143EF">
        <w:trPr>
          <w:trHeight w:val="450"/>
        </w:trPr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三级</w:t>
            </w:r>
          </w:p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依据</w:t>
            </w:r>
          </w:p>
        </w:tc>
      </w:tr>
      <w:tr w:rsidR="00A143EF">
        <w:trPr>
          <w:trHeight w:val="450"/>
        </w:trPr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br/>
              <w:t>实现</w:t>
            </w: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:rsidR="00A143EF" w:rsidRDefault="00A143EF">
            <w:pPr>
              <w:widowControl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 w:rsidP="00496612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496612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t>运管所2025年站棚站牌维</w:t>
            </w:r>
            <w:r w:rsidR="00496612">
              <w:rPr>
                <w:rFonts w:ascii="仿宋_GB2312" w:eastAsia="仿宋_GB2312" w:hAnsi="Arial" w:cs="Arial" w:hint="eastAsia"/>
                <w:color w:val="000000"/>
                <w:kern w:val="0"/>
                <w:sz w:val="24"/>
                <w:szCs w:val="24"/>
              </w:rPr>
              <w:lastRenderedPageBreak/>
              <w:t>修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产出质量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公交站棚完好率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lastRenderedPageBreak/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13482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产出质量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维修验收合格率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13482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产出质量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投诉处理回复率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A143EF">
        <w:trPr>
          <w:trHeight w:val="450"/>
        </w:trPr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13482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产出质量</w:t>
            </w:r>
            <w:r w:rsidR="00443971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  <w:r w:rsidR="00113482"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站牌更换及时率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1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113482" w:rsidP="00113482">
            <w:pPr>
              <w:widowControl/>
              <w:snapToGrid w:val="0"/>
              <w:jc w:val="center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>≥90%</w:t>
            </w:r>
          </w:p>
        </w:tc>
        <w:tc>
          <w:tcPr>
            <w:tcW w:w="10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143EF" w:rsidRDefault="00443971">
            <w:pPr>
              <w:widowControl/>
              <w:snapToGrid w:val="0"/>
              <w:jc w:val="left"/>
              <w:rPr>
                <w:rFonts w:ascii="仿宋_GB2312" w:eastAsia="仿宋_GB2312" w:hAnsi="宋体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Arial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A143EF" w:rsidRDefault="00A143EF"/>
    <w:sectPr w:rsidR="00A143EF" w:rsidSect="00A143E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7B6" w:rsidRDefault="00FF77B6" w:rsidP="005D5FCC">
      <w:r>
        <w:separator/>
      </w:r>
    </w:p>
  </w:endnote>
  <w:endnote w:type="continuationSeparator" w:id="1">
    <w:p w:rsidR="00FF77B6" w:rsidRDefault="00FF77B6" w:rsidP="005D5F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7B6" w:rsidRDefault="00FF77B6" w:rsidP="005D5FCC">
      <w:r>
        <w:separator/>
      </w:r>
    </w:p>
  </w:footnote>
  <w:footnote w:type="continuationSeparator" w:id="1">
    <w:p w:rsidR="00FF77B6" w:rsidRDefault="00FF77B6" w:rsidP="005D5FC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143EF"/>
    <w:rsid w:val="000F2B0A"/>
    <w:rsid w:val="00113482"/>
    <w:rsid w:val="001D7D90"/>
    <w:rsid w:val="00203BEA"/>
    <w:rsid w:val="00251289"/>
    <w:rsid w:val="00443971"/>
    <w:rsid w:val="00496612"/>
    <w:rsid w:val="005D5FCC"/>
    <w:rsid w:val="007652B4"/>
    <w:rsid w:val="00862D79"/>
    <w:rsid w:val="00973DDA"/>
    <w:rsid w:val="00A143EF"/>
    <w:rsid w:val="00CD0A5B"/>
    <w:rsid w:val="00FF77B6"/>
    <w:rsid w:val="66BF25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A143EF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paragraph" w:styleId="1">
    <w:name w:val="heading 1"/>
    <w:basedOn w:val="a"/>
    <w:next w:val="a"/>
    <w:qFormat/>
    <w:rsid w:val="00A143EF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5F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5FCC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5D5F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5FCC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192</Words>
  <Characters>1098</Characters>
  <Application>Microsoft Office Word</Application>
  <DocSecurity>0</DocSecurity>
  <Lines>9</Lines>
  <Paragraphs>2</Paragraphs>
  <ScaleCrop>false</ScaleCrop>
  <Company>Micorosoft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Micorosoft</cp:lastModifiedBy>
  <cp:revision>7</cp:revision>
  <dcterms:created xsi:type="dcterms:W3CDTF">2014-10-29T12:08:00Z</dcterms:created>
  <dcterms:modified xsi:type="dcterms:W3CDTF">2024-11-22T02:46:00Z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2052-11.1.0.10502</vt:lpwstr>
  </property>
  <property fmtid="{D5CDD505-2E9C-101B-9397-08002B2CF9AE}" pid="3" name="ICV">
    <vt:lpwstr>A47C5D84466944459C64BDB1DA87701B</vt:lpwstr>
  </property>
</Properties>
</file>