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" w:hAnsi="仿宋" w:eastAsia="仿宋" w:cs="仿宋"/>
          <w:b/>
          <w:bCs/>
          <w:sz w:val="36"/>
          <w:szCs w:val="36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6"/>
          <w:szCs w:val="36"/>
          <w:highlight w:val="none"/>
          <w:lang w:val="en-US" w:eastAsia="zh-CN"/>
        </w:rPr>
        <w:t>2023</w:t>
      </w:r>
      <w:r>
        <w:rPr>
          <w:rFonts w:hint="eastAsia" w:ascii="仿宋" w:hAnsi="仿宋" w:eastAsia="仿宋" w:cs="仿宋"/>
          <w:b/>
          <w:bCs/>
          <w:sz w:val="36"/>
          <w:szCs w:val="36"/>
          <w:highlight w:val="none"/>
        </w:rPr>
        <w:t>年度</w:t>
      </w:r>
      <w:r>
        <w:rPr>
          <w:rFonts w:hint="eastAsia" w:ascii="仿宋" w:hAnsi="仿宋" w:eastAsia="仿宋" w:cs="仿宋"/>
          <w:b/>
          <w:bCs/>
          <w:sz w:val="36"/>
          <w:szCs w:val="36"/>
          <w:highlight w:val="none"/>
          <w:lang w:val="en-US" w:eastAsia="zh-CN"/>
        </w:rPr>
        <w:t>武汉市蔡甸区机关事务服务中心</w:t>
      </w:r>
    </w:p>
    <w:p>
      <w:pPr>
        <w:jc w:val="center"/>
        <w:rPr>
          <w:rFonts w:hint="eastAsia" w:ascii="仿宋" w:hAnsi="仿宋" w:eastAsia="仿宋" w:cs="仿宋"/>
          <w:b/>
          <w:bCs/>
          <w:sz w:val="36"/>
          <w:szCs w:val="36"/>
          <w:highlight w:val="none"/>
        </w:rPr>
      </w:pPr>
      <w:r>
        <w:rPr>
          <w:rFonts w:hint="eastAsia" w:ascii="仿宋" w:hAnsi="仿宋" w:eastAsia="仿宋" w:cs="仿宋"/>
          <w:b/>
          <w:bCs/>
          <w:sz w:val="36"/>
          <w:szCs w:val="36"/>
          <w:highlight w:val="none"/>
        </w:rPr>
        <w:t>部门整体绩效自评表</w:t>
      </w:r>
    </w:p>
    <w:p>
      <w:pPr>
        <w:widowControl/>
        <w:jc w:val="left"/>
        <w:rPr>
          <w:rFonts w:hint="eastAsia" w:ascii="仿宋" w:hAnsi="仿宋" w:eastAsia="仿宋" w:cs="仿宋"/>
          <w:kern w:val="0"/>
          <w:sz w:val="24"/>
          <w:szCs w:val="24"/>
          <w:highlight w:val="none"/>
        </w:rPr>
      </w:pPr>
    </w:p>
    <w:p>
      <w:pPr>
        <w:widowControl w:val="0"/>
        <w:snapToGrid w:val="0"/>
        <w:jc w:val="center"/>
        <w:rPr>
          <w:rFonts w:hint="eastAsia" w:ascii="仿宋" w:hAnsi="仿宋" w:eastAsia="仿宋" w:cs="仿宋"/>
          <w:kern w:val="0"/>
          <w:sz w:val="21"/>
          <w:lang w:val="en-US" w:eastAsia="zh-CN"/>
        </w:rPr>
      </w:pPr>
      <w:r>
        <w:rPr>
          <w:rFonts w:hint="eastAsia" w:ascii="仿宋" w:hAnsi="仿宋" w:eastAsia="仿宋" w:cs="仿宋"/>
          <w:kern w:val="0"/>
          <w:sz w:val="21"/>
          <w:lang w:val="en-US" w:eastAsia="zh-CN"/>
        </w:rPr>
        <w:t>单位名称：武汉市蔡甸区机关事务服务中心          填报日期：2024/3/28</w:t>
      </w:r>
    </w:p>
    <w:tbl>
      <w:tblPr>
        <w:tblStyle w:val="8"/>
        <w:tblW w:w="499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9"/>
        <w:gridCol w:w="1230"/>
        <w:gridCol w:w="1145"/>
        <w:gridCol w:w="2048"/>
        <w:gridCol w:w="1757"/>
        <w:gridCol w:w="21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1060" w:type="pct"/>
            <w:gridSpan w:val="2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单位名称</w:t>
            </w:r>
          </w:p>
        </w:tc>
        <w:tc>
          <w:tcPr>
            <w:tcW w:w="3939" w:type="pct"/>
            <w:gridSpan w:val="4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武汉市蔡甸区机关事务服务中心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1060" w:type="pct"/>
            <w:gridSpan w:val="2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基本支出总额</w:t>
            </w:r>
          </w:p>
        </w:tc>
        <w:tc>
          <w:tcPr>
            <w:tcW w:w="1763" w:type="pct"/>
            <w:gridSpan w:val="2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529.22万元</w:t>
            </w:r>
          </w:p>
        </w:tc>
        <w:tc>
          <w:tcPr>
            <w:tcW w:w="970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项目支出总额</w:t>
            </w:r>
          </w:p>
        </w:tc>
        <w:tc>
          <w:tcPr>
            <w:tcW w:w="1205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5902.47万元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1060" w:type="pct"/>
            <w:gridSpan w:val="2"/>
            <w:vMerge w:val="restar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预算执行情况</w:t>
            </w:r>
          </w:p>
          <w:p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（万元）</w:t>
            </w:r>
          </w:p>
        </w:tc>
        <w:tc>
          <w:tcPr>
            <w:tcW w:w="632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</w:p>
        </w:tc>
        <w:tc>
          <w:tcPr>
            <w:tcW w:w="1130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预算数（A）</w:t>
            </w:r>
          </w:p>
        </w:tc>
        <w:tc>
          <w:tcPr>
            <w:tcW w:w="970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执行数（B）</w:t>
            </w:r>
          </w:p>
        </w:tc>
        <w:tc>
          <w:tcPr>
            <w:tcW w:w="1205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执行率（B/A）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1060" w:type="pct"/>
            <w:gridSpan w:val="2"/>
            <w:vMerge w:val="continue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</w:p>
        </w:tc>
        <w:tc>
          <w:tcPr>
            <w:tcW w:w="632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部门整体支出总额</w:t>
            </w:r>
          </w:p>
        </w:tc>
        <w:tc>
          <w:tcPr>
            <w:tcW w:w="1130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6431.69万元</w:t>
            </w:r>
          </w:p>
        </w:tc>
        <w:tc>
          <w:tcPr>
            <w:tcW w:w="970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zh-CN" w:eastAsia="en-US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6431.69万元</w:t>
            </w:r>
          </w:p>
        </w:tc>
        <w:tc>
          <w:tcPr>
            <w:tcW w:w="1205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5000" w:type="pct"/>
            <w:gridSpan w:val="6"/>
            <w:noWrap w:val="0"/>
            <w:vAlign w:val="center"/>
          </w:tcPr>
          <w:p>
            <w:pPr>
              <w:widowControl w:val="0"/>
              <w:snapToGrid w:val="0"/>
              <w:jc w:val="left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年度目标1：做好区委、区政府机关院内安保、消防、维稳工作，确保院内无盗窃、火灾等安全事故发生。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381" w:type="pct"/>
            <w:vMerge w:val="restar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年度绩效目标完成情况</w:t>
            </w:r>
          </w:p>
        </w:tc>
        <w:tc>
          <w:tcPr>
            <w:tcW w:w="679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一级指标</w:t>
            </w:r>
          </w:p>
        </w:tc>
        <w:tc>
          <w:tcPr>
            <w:tcW w:w="632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二级指标</w:t>
            </w:r>
          </w:p>
        </w:tc>
        <w:tc>
          <w:tcPr>
            <w:tcW w:w="1130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三级指标</w:t>
            </w:r>
          </w:p>
        </w:tc>
        <w:tc>
          <w:tcPr>
            <w:tcW w:w="970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年初目标值</w:t>
            </w:r>
          </w:p>
        </w:tc>
        <w:tc>
          <w:tcPr>
            <w:tcW w:w="1205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实际完成值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381" w:type="pct"/>
            <w:vMerge w:val="continue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</w:p>
        </w:tc>
        <w:tc>
          <w:tcPr>
            <w:tcW w:w="679" w:type="pct"/>
            <w:vMerge w:val="restar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产出指标</w:t>
            </w:r>
          </w:p>
        </w:tc>
        <w:tc>
          <w:tcPr>
            <w:tcW w:w="632" w:type="pct"/>
            <w:vMerge w:val="restar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数量指标</w:t>
            </w:r>
          </w:p>
        </w:tc>
        <w:tc>
          <w:tcPr>
            <w:tcW w:w="1130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机关院内零星维修次数</w:t>
            </w:r>
          </w:p>
        </w:tc>
        <w:tc>
          <w:tcPr>
            <w:tcW w:w="970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200次</w:t>
            </w:r>
          </w:p>
        </w:tc>
        <w:tc>
          <w:tcPr>
            <w:tcW w:w="1205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936次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381" w:type="pct"/>
            <w:vMerge w:val="continue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</w:p>
        </w:tc>
        <w:tc>
          <w:tcPr>
            <w:tcW w:w="679" w:type="pct"/>
            <w:vMerge w:val="continue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</w:p>
        </w:tc>
        <w:tc>
          <w:tcPr>
            <w:tcW w:w="632" w:type="pct"/>
            <w:vMerge w:val="continue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</w:p>
        </w:tc>
        <w:tc>
          <w:tcPr>
            <w:tcW w:w="1130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 w:bidi="ar-SA"/>
              </w:rPr>
              <w:t>组织消防演练</w:t>
            </w:r>
          </w:p>
        </w:tc>
        <w:tc>
          <w:tcPr>
            <w:tcW w:w="970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至少1次</w:t>
            </w:r>
          </w:p>
        </w:tc>
        <w:tc>
          <w:tcPr>
            <w:tcW w:w="1205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2次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381" w:type="pct"/>
            <w:vMerge w:val="continue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</w:p>
        </w:tc>
        <w:tc>
          <w:tcPr>
            <w:tcW w:w="679" w:type="pct"/>
            <w:vMerge w:val="continue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</w:p>
        </w:tc>
        <w:tc>
          <w:tcPr>
            <w:tcW w:w="632" w:type="pct"/>
            <w:vMerge w:val="continue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</w:p>
        </w:tc>
        <w:tc>
          <w:tcPr>
            <w:tcW w:w="1130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 w:bidi="ar-SA"/>
              </w:rPr>
              <w:t>保洁服务、安保保障覆盖率</w:t>
            </w:r>
          </w:p>
        </w:tc>
        <w:tc>
          <w:tcPr>
            <w:tcW w:w="970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100%</w:t>
            </w:r>
          </w:p>
        </w:tc>
        <w:tc>
          <w:tcPr>
            <w:tcW w:w="1205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381" w:type="pct"/>
            <w:vMerge w:val="continue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</w:p>
        </w:tc>
        <w:tc>
          <w:tcPr>
            <w:tcW w:w="679" w:type="pct"/>
            <w:vMerge w:val="continue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</w:p>
        </w:tc>
        <w:tc>
          <w:tcPr>
            <w:tcW w:w="632" w:type="pct"/>
            <w:vMerge w:val="continue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</w:p>
        </w:tc>
        <w:tc>
          <w:tcPr>
            <w:tcW w:w="1130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接待上访次数</w:t>
            </w:r>
          </w:p>
        </w:tc>
        <w:tc>
          <w:tcPr>
            <w:tcW w:w="970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300人次</w:t>
            </w:r>
          </w:p>
        </w:tc>
        <w:tc>
          <w:tcPr>
            <w:tcW w:w="1205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313人次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  <w:jc w:val="center"/>
        </w:trPr>
        <w:tc>
          <w:tcPr>
            <w:tcW w:w="381" w:type="pct"/>
            <w:vMerge w:val="continue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</w:p>
        </w:tc>
        <w:tc>
          <w:tcPr>
            <w:tcW w:w="679" w:type="pct"/>
            <w:vMerge w:val="continue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</w:p>
        </w:tc>
        <w:tc>
          <w:tcPr>
            <w:tcW w:w="632" w:type="pct"/>
            <w:vMerge w:val="continue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</w:p>
        </w:tc>
        <w:tc>
          <w:tcPr>
            <w:tcW w:w="1130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接待上访人数</w:t>
            </w:r>
          </w:p>
        </w:tc>
        <w:tc>
          <w:tcPr>
            <w:tcW w:w="970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3000人</w:t>
            </w:r>
          </w:p>
        </w:tc>
        <w:tc>
          <w:tcPr>
            <w:tcW w:w="1205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1510人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381" w:type="pct"/>
            <w:vMerge w:val="continue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</w:p>
        </w:tc>
        <w:tc>
          <w:tcPr>
            <w:tcW w:w="679" w:type="pct"/>
            <w:vMerge w:val="continue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</w:p>
        </w:tc>
        <w:tc>
          <w:tcPr>
            <w:tcW w:w="632" w:type="pct"/>
            <w:vMerge w:val="restar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质量指标</w:t>
            </w:r>
          </w:p>
        </w:tc>
        <w:tc>
          <w:tcPr>
            <w:tcW w:w="1130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院内小型维修项目合格率</w:t>
            </w:r>
          </w:p>
        </w:tc>
        <w:tc>
          <w:tcPr>
            <w:tcW w:w="970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100%</w:t>
            </w:r>
          </w:p>
        </w:tc>
        <w:tc>
          <w:tcPr>
            <w:tcW w:w="1205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381" w:type="pct"/>
            <w:vMerge w:val="continue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</w:p>
        </w:tc>
        <w:tc>
          <w:tcPr>
            <w:tcW w:w="679" w:type="pct"/>
            <w:vMerge w:val="continue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</w:p>
        </w:tc>
        <w:tc>
          <w:tcPr>
            <w:tcW w:w="632" w:type="pct"/>
            <w:vMerge w:val="continue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</w:p>
        </w:tc>
        <w:tc>
          <w:tcPr>
            <w:tcW w:w="1130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管理范围安全无事故率</w:t>
            </w:r>
          </w:p>
        </w:tc>
        <w:tc>
          <w:tcPr>
            <w:tcW w:w="970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100%</w:t>
            </w:r>
          </w:p>
        </w:tc>
        <w:tc>
          <w:tcPr>
            <w:tcW w:w="1205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381" w:type="pct"/>
            <w:vMerge w:val="continue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</w:p>
        </w:tc>
        <w:tc>
          <w:tcPr>
            <w:tcW w:w="679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效益指标</w:t>
            </w:r>
          </w:p>
        </w:tc>
        <w:tc>
          <w:tcPr>
            <w:tcW w:w="632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社会效益指标</w:t>
            </w:r>
          </w:p>
        </w:tc>
        <w:tc>
          <w:tcPr>
            <w:tcW w:w="1130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维护机关院内安全稳定，保障院内各单位工作运行正常，各单位更好服务于民</w:t>
            </w:r>
          </w:p>
        </w:tc>
        <w:tc>
          <w:tcPr>
            <w:tcW w:w="970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提高</w:t>
            </w:r>
          </w:p>
        </w:tc>
        <w:tc>
          <w:tcPr>
            <w:tcW w:w="1205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提高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5000" w:type="pct"/>
            <w:gridSpan w:val="6"/>
            <w:noWrap w:val="0"/>
            <w:vAlign w:val="center"/>
          </w:tcPr>
          <w:p>
            <w:pPr>
              <w:widowControl w:val="0"/>
              <w:tabs>
                <w:tab w:val="left" w:pos="6942"/>
              </w:tabs>
              <w:snapToGrid w:val="0"/>
              <w:jc w:val="left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年度目标2：规范区委、区政府机关固定资产管理，做好存量资产调剂使用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  <w:jc w:val="center"/>
        </w:trPr>
        <w:tc>
          <w:tcPr>
            <w:tcW w:w="381" w:type="pct"/>
            <w:vMerge w:val="restar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年度绩效目标完成情况</w:t>
            </w:r>
          </w:p>
        </w:tc>
        <w:tc>
          <w:tcPr>
            <w:tcW w:w="679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一级指标</w:t>
            </w:r>
          </w:p>
        </w:tc>
        <w:tc>
          <w:tcPr>
            <w:tcW w:w="632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二级指标</w:t>
            </w:r>
          </w:p>
        </w:tc>
        <w:tc>
          <w:tcPr>
            <w:tcW w:w="1130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三级指标</w:t>
            </w:r>
          </w:p>
        </w:tc>
        <w:tc>
          <w:tcPr>
            <w:tcW w:w="970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年初目标值</w:t>
            </w:r>
          </w:p>
        </w:tc>
        <w:tc>
          <w:tcPr>
            <w:tcW w:w="1205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实际完成值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381" w:type="pct"/>
            <w:vMerge w:val="continue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</w:p>
        </w:tc>
        <w:tc>
          <w:tcPr>
            <w:tcW w:w="679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产出指标</w:t>
            </w:r>
          </w:p>
        </w:tc>
        <w:tc>
          <w:tcPr>
            <w:tcW w:w="632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成本指标</w:t>
            </w:r>
          </w:p>
        </w:tc>
        <w:tc>
          <w:tcPr>
            <w:tcW w:w="1130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购置固定资产</w:t>
            </w:r>
          </w:p>
        </w:tc>
        <w:tc>
          <w:tcPr>
            <w:tcW w:w="970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≤20万元</w:t>
            </w:r>
          </w:p>
        </w:tc>
        <w:tc>
          <w:tcPr>
            <w:tcW w:w="1205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19.28万元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381" w:type="pct"/>
            <w:vMerge w:val="continue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</w:p>
        </w:tc>
        <w:tc>
          <w:tcPr>
            <w:tcW w:w="679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效益指标</w:t>
            </w:r>
          </w:p>
        </w:tc>
        <w:tc>
          <w:tcPr>
            <w:tcW w:w="632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可持续影响指标</w:t>
            </w:r>
          </w:p>
        </w:tc>
        <w:tc>
          <w:tcPr>
            <w:tcW w:w="1130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励行节约，杜绝浪费</w:t>
            </w:r>
          </w:p>
        </w:tc>
        <w:tc>
          <w:tcPr>
            <w:tcW w:w="970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是</w:t>
            </w:r>
          </w:p>
        </w:tc>
        <w:tc>
          <w:tcPr>
            <w:tcW w:w="1205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5000" w:type="pct"/>
            <w:gridSpan w:val="6"/>
            <w:noWrap w:val="0"/>
            <w:vAlign w:val="center"/>
          </w:tcPr>
          <w:p>
            <w:pPr>
              <w:widowControl w:val="0"/>
              <w:snapToGrid w:val="0"/>
              <w:jc w:val="left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年度目标3：</w:t>
            </w:r>
            <w:r>
              <w:rPr>
                <w:rFonts w:hint="eastAsia" w:ascii="仿宋" w:hAnsi="仿宋" w:eastAsia="仿宋" w:cs="仿宋"/>
                <w:kern w:val="0"/>
                <w:sz w:val="21"/>
                <w:highlight w:val="none"/>
                <w:lang w:val="en-US" w:eastAsia="zh-CN"/>
              </w:rPr>
              <w:t>规范完成全区公务接待工作、会务保障任务，无违规违纪、超标准问题发生。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381" w:type="pct"/>
            <w:vMerge w:val="restar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年度绩效目标完成情况</w:t>
            </w:r>
          </w:p>
        </w:tc>
        <w:tc>
          <w:tcPr>
            <w:tcW w:w="679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一级指标</w:t>
            </w:r>
          </w:p>
        </w:tc>
        <w:tc>
          <w:tcPr>
            <w:tcW w:w="632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二级指标</w:t>
            </w:r>
          </w:p>
        </w:tc>
        <w:tc>
          <w:tcPr>
            <w:tcW w:w="1130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三级指标</w:t>
            </w:r>
          </w:p>
        </w:tc>
        <w:tc>
          <w:tcPr>
            <w:tcW w:w="970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年初目标值</w:t>
            </w:r>
          </w:p>
        </w:tc>
        <w:tc>
          <w:tcPr>
            <w:tcW w:w="1205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实际完成值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381" w:type="pct"/>
            <w:vMerge w:val="continue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</w:p>
        </w:tc>
        <w:tc>
          <w:tcPr>
            <w:tcW w:w="679" w:type="pct"/>
            <w:vMerge w:val="restar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产出指标</w:t>
            </w:r>
          </w:p>
          <w:p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</w:p>
        </w:tc>
        <w:tc>
          <w:tcPr>
            <w:tcW w:w="632" w:type="pct"/>
            <w:vMerge w:val="restar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数量指标</w:t>
            </w:r>
          </w:p>
        </w:tc>
        <w:tc>
          <w:tcPr>
            <w:tcW w:w="1130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公务（招商引资）接待活动</w:t>
            </w:r>
          </w:p>
        </w:tc>
        <w:tc>
          <w:tcPr>
            <w:tcW w:w="970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50起</w:t>
            </w:r>
          </w:p>
        </w:tc>
        <w:tc>
          <w:tcPr>
            <w:tcW w:w="1205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84起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381" w:type="pct"/>
            <w:vMerge w:val="continue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</w:p>
        </w:tc>
        <w:tc>
          <w:tcPr>
            <w:tcW w:w="679" w:type="pct"/>
            <w:vMerge w:val="continue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</w:p>
        </w:tc>
        <w:tc>
          <w:tcPr>
            <w:tcW w:w="632" w:type="pct"/>
            <w:vMerge w:val="continue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</w:p>
        </w:tc>
        <w:tc>
          <w:tcPr>
            <w:tcW w:w="1130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会议服务保障工作会议场次</w:t>
            </w:r>
          </w:p>
        </w:tc>
        <w:tc>
          <w:tcPr>
            <w:tcW w:w="970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800场</w:t>
            </w:r>
          </w:p>
        </w:tc>
        <w:tc>
          <w:tcPr>
            <w:tcW w:w="1205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550场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381" w:type="pct"/>
            <w:vMerge w:val="continue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</w:p>
        </w:tc>
        <w:tc>
          <w:tcPr>
            <w:tcW w:w="679" w:type="pct"/>
            <w:vMerge w:val="continue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</w:p>
        </w:tc>
        <w:tc>
          <w:tcPr>
            <w:tcW w:w="632" w:type="pct"/>
            <w:vMerge w:val="restar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质量指标</w:t>
            </w:r>
          </w:p>
        </w:tc>
        <w:tc>
          <w:tcPr>
            <w:tcW w:w="1130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会议、接待如期进行，无事故</w:t>
            </w:r>
          </w:p>
        </w:tc>
        <w:tc>
          <w:tcPr>
            <w:tcW w:w="970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100%</w:t>
            </w:r>
          </w:p>
        </w:tc>
        <w:tc>
          <w:tcPr>
            <w:tcW w:w="1205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381" w:type="pct"/>
            <w:vMerge w:val="continue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</w:p>
        </w:tc>
        <w:tc>
          <w:tcPr>
            <w:tcW w:w="679" w:type="pct"/>
            <w:vMerge w:val="continue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</w:p>
        </w:tc>
        <w:tc>
          <w:tcPr>
            <w:tcW w:w="632" w:type="pct"/>
            <w:vMerge w:val="continue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</w:p>
        </w:tc>
        <w:tc>
          <w:tcPr>
            <w:tcW w:w="1130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公务接待无违规违纪、超标准问题发生</w:t>
            </w:r>
          </w:p>
        </w:tc>
        <w:tc>
          <w:tcPr>
            <w:tcW w:w="970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100%</w:t>
            </w:r>
          </w:p>
        </w:tc>
        <w:tc>
          <w:tcPr>
            <w:tcW w:w="1205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381" w:type="pct"/>
            <w:vMerge w:val="continue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</w:p>
        </w:tc>
        <w:tc>
          <w:tcPr>
            <w:tcW w:w="679" w:type="pct"/>
            <w:vMerge w:val="continue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</w:p>
        </w:tc>
        <w:tc>
          <w:tcPr>
            <w:tcW w:w="632" w:type="pct"/>
            <w:vMerge w:val="restar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成本指标</w:t>
            </w:r>
          </w:p>
        </w:tc>
        <w:tc>
          <w:tcPr>
            <w:tcW w:w="1130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一般公务接待标准</w:t>
            </w:r>
          </w:p>
        </w:tc>
        <w:tc>
          <w:tcPr>
            <w:tcW w:w="970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80元/人</w:t>
            </w:r>
          </w:p>
        </w:tc>
        <w:tc>
          <w:tcPr>
            <w:tcW w:w="1205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80元/人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381" w:type="pct"/>
            <w:vMerge w:val="continue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</w:p>
        </w:tc>
        <w:tc>
          <w:tcPr>
            <w:tcW w:w="679" w:type="pct"/>
            <w:vMerge w:val="continue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</w:p>
        </w:tc>
        <w:tc>
          <w:tcPr>
            <w:tcW w:w="632" w:type="pct"/>
            <w:vMerge w:val="continue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</w:p>
        </w:tc>
        <w:tc>
          <w:tcPr>
            <w:tcW w:w="1130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商务接待标准</w:t>
            </w:r>
          </w:p>
        </w:tc>
        <w:tc>
          <w:tcPr>
            <w:tcW w:w="970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200元/人</w:t>
            </w:r>
          </w:p>
        </w:tc>
        <w:tc>
          <w:tcPr>
            <w:tcW w:w="1205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200元/人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381" w:type="pct"/>
            <w:vMerge w:val="continue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</w:p>
        </w:tc>
        <w:tc>
          <w:tcPr>
            <w:tcW w:w="679" w:type="pct"/>
            <w:vMerge w:val="restar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效益指标</w:t>
            </w:r>
          </w:p>
        </w:tc>
        <w:tc>
          <w:tcPr>
            <w:tcW w:w="632" w:type="pct"/>
            <w:vMerge w:val="restar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社会效益指标</w:t>
            </w:r>
          </w:p>
        </w:tc>
        <w:tc>
          <w:tcPr>
            <w:tcW w:w="1130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严格执行中央八项规定及其实施细则精神</w:t>
            </w:r>
          </w:p>
        </w:tc>
        <w:tc>
          <w:tcPr>
            <w:tcW w:w="970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是</w:t>
            </w:r>
          </w:p>
        </w:tc>
        <w:tc>
          <w:tcPr>
            <w:tcW w:w="1205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381" w:type="pct"/>
            <w:vMerge w:val="continue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</w:p>
        </w:tc>
        <w:tc>
          <w:tcPr>
            <w:tcW w:w="679" w:type="pct"/>
            <w:vMerge w:val="continue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</w:p>
        </w:tc>
        <w:tc>
          <w:tcPr>
            <w:tcW w:w="632" w:type="pct"/>
            <w:vMerge w:val="continue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</w:p>
        </w:tc>
        <w:tc>
          <w:tcPr>
            <w:tcW w:w="1130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重大会议服务保障“两高三致”</w:t>
            </w:r>
          </w:p>
        </w:tc>
        <w:tc>
          <w:tcPr>
            <w:tcW w:w="970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是</w:t>
            </w:r>
          </w:p>
        </w:tc>
        <w:tc>
          <w:tcPr>
            <w:tcW w:w="1205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5000" w:type="pct"/>
            <w:gridSpan w:val="6"/>
            <w:noWrap w:val="0"/>
            <w:vAlign w:val="center"/>
          </w:tcPr>
          <w:p>
            <w:pPr>
              <w:widowControl w:val="0"/>
              <w:snapToGrid w:val="0"/>
              <w:jc w:val="left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年度目标4：规范区委、区政府机关食堂管理，提高服务质量；倡导厉行节约，制止餐饮浪费，厨余垃圾人均日产量同比减少2%，推进健康食堂建设，机关干部满意率90%以上。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381" w:type="pct"/>
            <w:vMerge w:val="restar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年度绩效目标完成情况</w:t>
            </w:r>
          </w:p>
        </w:tc>
        <w:tc>
          <w:tcPr>
            <w:tcW w:w="679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一级指标</w:t>
            </w:r>
          </w:p>
        </w:tc>
        <w:tc>
          <w:tcPr>
            <w:tcW w:w="632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二级指标</w:t>
            </w:r>
          </w:p>
        </w:tc>
        <w:tc>
          <w:tcPr>
            <w:tcW w:w="1130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三级指标</w:t>
            </w:r>
          </w:p>
        </w:tc>
        <w:tc>
          <w:tcPr>
            <w:tcW w:w="970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年初目标值</w:t>
            </w:r>
          </w:p>
        </w:tc>
        <w:tc>
          <w:tcPr>
            <w:tcW w:w="1205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实际完成值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381" w:type="pct"/>
            <w:vMerge w:val="continue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</w:p>
        </w:tc>
        <w:tc>
          <w:tcPr>
            <w:tcW w:w="679" w:type="pct"/>
            <w:vMerge w:val="restar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产出指标</w:t>
            </w:r>
          </w:p>
        </w:tc>
        <w:tc>
          <w:tcPr>
            <w:tcW w:w="632" w:type="pct"/>
            <w:vMerge w:val="restar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质量指标</w:t>
            </w:r>
          </w:p>
        </w:tc>
        <w:tc>
          <w:tcPr>
            <w:tcW w:w="1130" w:type="pct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机关食堂厨余垃圾日产量同比去年减少量</w:t>
            </w:r>
          </w:p>
        </w:tc>
        <w:tc>
          <w:tcPr>
            <w:tcW w:w="970" w:type="pct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10%</w:t>
            </w:r>
          </w:p>
        </w:tc>
        <w:tc>
          <w:tcPr>
            <w:tcW w:w="1205" w:type="pct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lang w:val="en-US" w:eastAsia="zh-CN" w:bidi="ar-SA"/>
              </w:rPr>
              <w:t>12%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381" w:type="pct"/>
            <w:vMerge w:val="continue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</w:p>
        </w:tc>
        <w:tc>
          <w:tcPr>
            <w:tcW w:w="679" w:type="pct"/>
            <w:vMerge w:val="continue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</w:p>
        </w:tc>
        <w:tc>
          <w:tcPr>
            <w:tcW w:w="632" w:type="pct"/>
            <w:vMerge w:val="continue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</w:p>
        </w:tc>
        <w:tc>
          <w:tcPr>
            <w:tcW w:w="1130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食品安全达标率</w:t>
            </w:r>
          </w:p>
        </w:tc>
        <w:tc>
          <w:tcPr>
            <w:tcW w:w="970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100%</w:t>
            </w:r>
          </w:p>
        </w:tc>
        <w:tc>
          <w:tcPr>
            <w:tcW w:w="1205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381" w:type="pct"/>
            <w:vMerge w:val="continue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</w:p>
        </w:tc>
        <w:tc>
          <w:tcPr>
            <w:tcW w:w="679" w:type="pct"/>
            <w:vMerge w:val="continue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</w:p>
        </w:tc>
        <w:tc>
          <w:tcPr>
            <w:tcW w:w="632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数量指标</w:t>
            </w:r>
          </w:p>
        </w:tc>
        <w:tc>
          <w:tcPr>
            <w:tcW w:w="1130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食堂大扫除次数</w:t>
            </w:r>
          </w:p>
        </w:tc>
        <w:tc>
          <w:tcPr>
            <w:tcW w:w="970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1次/周</w:t>
            </w:r>
          </w:p>
        </w:tc>
        <w:tc>
          <w:tcPr>
            <w:tcW w:w="1205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1次/周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381" w:type="pct"/>
            <w:vMerge w:val="continue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</w:p>
        </w:tc>
        <w:tc>
          <w:tcPr>
            <w:tcW w:w="679" w:type="pct"/>
            <w:vMerge w:val="continue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</w:p>
        </w:tc>
        <w:tc>
          <w:tcPr>
            <w:tcW w:w="632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成本指标</w:t>
            </w:r>
          </w:p>
        </w:tc>
        <w:tc>
          <w:tcPr>
            <w:tcW w:w="1130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厉行节约，制止餐饮浪费，经费合理利用率</w:t>
            </w:r>
          </w:p>
        </w:tc>
        <w:tc>
          <w:tcPr>
            <w:tcW w:w="970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100%</w:t>
            </w:r>
          </w:p>
        </w:tc>
        <w:tc>
          <w:tcPr>
            <w:tcW w:w="1205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381" w:type="pct"/>
            <w:vMerge w:val="continue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</w:p>
        </w:tc>
        <w:tc>
          <w:tcPr>
            <w:tcW w:w="679" w:type="pct"/>
            <w:vMerge w:val="restar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效益指标</w:t>
            </w:r>
          </w:p>
        </w:tc>
        <w:tc>
          <w:tcPr>
            <w:tcW w:w="632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社会效益指标</w:t>
            </w:r>
          </w:p>
        </w:tc>
        <w:tc>
          <w:tcPr>
            <w:tcW w:w="1130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规范区委、区政府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机关食堂多元化、提高服务质量</w:t>
            </w:r>
          </w:p>
        </w:tc>
        <w:tc>
          <w:tcPr>
            <w:tcW w:w="970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提高</w:t>
            </w:r>
          </w:p>
        </w:tc>
        <w:tc>
          <w:tcPr>
            <w:tcW w:w="1205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提高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381" w:type="pct"/>
            <w:vMerge w:val="continue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</w:p>
        </w:tc>
        <w:tc>
          <w:tcPr>
            <w:tcW w:w="679" w:type="pct"/>
            <w:vMerge w:val="continue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</w:p>
        </w:tc>
        <w:tc>
          <w:tcPr>
            <w:tcW w:w="632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满意度指标</w:t>
            </w:r>
          </w:p>
        </w:tc>
        <w:tc>
          <w:tcPr>
            <w:tcW w:w="1130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机关干部满意率</w:t>
            </w:r>
          </w:p>
        </w:tc>
        <w:tc>
          <w:tcPr>
            <w:tcW w:w="970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highlight w:val="none"/>
                <w:lang w:val="en-US" w:eastAsia="zh-CN"/>
              </w:rPr>
              <w:t>≥90%</w:t>
            </w:r>
          </w:p>
        </w:tc>
        <w:tc>
          <w:tcPr>
            <w:tcW w:w="1205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highlight w:val="none"/>
                <w:lang w:val="en-US" w:eastAsia="zh-CN"/>
              </w:rPr>
              <w:t>95%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5000" w:type="pct"/>
            <w:gridSpan w:val="6"/>
            <w:noWrap w:val="0"/>
            <w:vAlign w:val="center"/>
          </w:tcPr>
          <w:p>
            <w:pPr>
              <w:widowControl w:val="0"/>
              <w:snapToGrid w:val="0"/>
              <w:jc w:val="left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年度目标5：优化车辆全称定位系统，推进管理信息化；高效完成公务应急、综合执法、接待活动车辆派遣任务，无重大安全责任事故。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381" w:type="pct"/>
            <w:vMerge w:val="restar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年度绩效目标完成情况</w:t>
            </w:r>
          </w:p>
        </w:tc>
        <w:tc>
          <w:tcPr>
            <w:tcW w:w="679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一级指标</w:t>
            </w:r>
          </w:p>
        </w:tc>
        <w:tc>
          <w:tcPr>
            <w:tcW w:w="632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二级指标</w:t>
            </w:r>
          </w:p>
        </w:tc>
        <w:tc>
          <w:tcPr>
            <w:tcW w:w="1130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三级指标</w:t>
            </w:r>
          </w:p>
        </w:tc>
        <w:tc>
          <w:tcPr>
            <w:tcW w:w="970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年初目标值</w:t>
            </w:r>
          </w:p>
        </w:tc>
        <w:tc>
          <w:tcPr>
            <w:tcW w:w="1205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实际完成值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381" w:type="pct"/>
            <w:vMerge w:val="continue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</w:p>
        </w:tc>
        <w:tc>
          <w:tcPr>
            <w:tcW w:w="679" w:type="pct"/>
            <w:vMerge w:val="restar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产出指标</w:t>
            </w:r>
          </w:p>
        </w:tc>
        <w:tc>
          <w:tcPr>
            <w:tcW w:w="632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数量指标</w:t>
            </w:r>
          </w:p>
        </w:tc>
        <w:tc>
          <w:tcPr>
            <w:tcW w:w="1130" w:type="pct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全区用车保障服务</w:t>
            </w:r>
          </w:p>
        </w:tc>
        <w:tc>
          <w:tcPr>
            <w:tcW w:w="970" w:type="pct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4000车次</w:t>
            </w:r>
          </w:p>
        </w:tc>
        <w:tc>
          <w:tcPr>
            <w:tcW w:w="1205" w:type="pct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3537车次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atLeast"/>
          <w:jc w:val="center"/>
        </w:trPr>
        <w:tc>
          <w:tcPr>
            <w:tcW w:w="381" w:type="pct"/>
            <w:vMerge w:val="continue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</w:p>
        </w:tc>
        <w:tc>
          <w:tcPr>
            <w:tcW w:w="679" w:type="pct"/>
            <w:vMerge w:val="continue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</w:p>
        </w:tc>
        <w:tc>
          <w:tcPr>
            <w:tcW w:w="632" w:type="pct"/>
            <w:vMerge w:val="restar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质量指标</w:t>
            </w:r>
          </w:p>
        </w:tc>
        <w:tc>
          <w:tcPr>
            <w:tcW w:w="1130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公务用车平台信息化建设完工率</w:t>
            </w:r>
          </w:p>
        </w:tc>
        <w:tc>
          <w:tcPr>
            <w:tcW w:w="970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100%</w:t>
            </w:r>
          </w:p>
        </w:tc>
        <w:tc>
          <w:tcPr>
            <w:tcW w:w="1205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atLeast"/>
          <w:jc w:val="center"/>
        </w:trPr>
        <w:tc>
          <w:tcPr>
            <w:tcW w:w="381" w:type="pct"/>
            <w:vMerge w:val="continue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</w:p>
        </w:tc>
        <w:tc>
          <w:tcPr>
            <w:tcW w:w="679" w:type="pct"/>
            <w:vMerge w:val="continue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</w:p>
        </w:tc>
        <w:tc>
          <w:tcPr>
            <w:tcW w:w="632" w:type="pct"/>
            <w:vMerge w:val="continue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</w:p>
        </w:tc>
        <w:tc>
          <w:tcPr>
            <w:tcW w:w="1130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规范平台用车，提高服务保障质量</w:t>
            </w:r>
          </w:p>
        </w:tc>
        <w:tc>
          <w:tcPr>
            <w:tcW w:w="970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100%</w:t>
            </w:r>
          </w:p>
        </w:tc>
        <w:tc>
          <w:tcPr>
            <w:tcW w:w="1205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atLeast"/>
          <w:jc w:val="center"/>
        </w:trPr>
        <w:tc>
          <w:tcPr>
            <w:tcW w:w="381" w:type="pct"/>
            <w:vMerge w:val="continue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</w:p>
        </w:tc>
        <w:tc>
          <w:tcPr>
            <w:tcW w:w="679" w:type="pct"/>
            <w:vMerge w:val="continue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</w:p>
        </w:tc>
        <w:tc>
          <w:tcPr>
            <w:tcW w:w="632" w:type="pct"/>
            <w:vMerge w:val="continue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</w:p>
        </w:tc>
        <w:tc>
          <w:tcPr>
            <w:tcW w:w="1130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无行车责任事故</w:t>
            </w:r>
          </w:p>
        </w:tc>
        <w:tc>
          <w:tcPr>
            <w:tcW w:w="970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100%</w:t>
            </w:r>
          </w:p>
        </w:tc>
        <w:tc>
          <w:tcPr>
            <w:tcW w:w="1205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381" w:type="pct"/>
            <w:vMerge w:val="continue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</w:p>
        </w:tc>
        <w:tc>
          <w:tcPr>
            <w:tcW w:w="679" w:type="pct"/>
            <w:vMerge w:val="continue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</w:p>
        </w:tc>
        <w:tc>
          <w:tcPr>
            <w:tcW w:w="632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时效指标</w:t>
            </w:r>
          </w:p>
        </w:tc>
        <w:tc>
          <w:tcPr>
            <w:tcW w:w="1130" w:type="pct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服务保障及时率</w:t>
            </w:r>
          </w:p>
        </w:tc>
        <w:tc>
          <w:tcPr>
            <w:tcW w:w="970" w:type="pct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100%</w:t>
            </w:r>
          </w:p>
        </w:tc>
        <w:tc>
          <w:tcPr>
            <w:tcW w:w="1205" w:type="pct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381" w:type="pct"/>
            <w:vMerge w:val="continue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</w:p>
        </w:tc>
        <w:tc>
          <w:tcPr>
            <w:tcW w:w="679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效益指标</w:t>
            </w:r>
          </w:p>
        </w:tc>
        <w:tc>
          <w:tcPr>
            <w:tcW w:w="632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社会效益指标</w:t>
            </w:r>
          </w:p>
        </w:tc>
        <w:tc>
          <w:tcPr>
            <w:tcW w:w="1130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用车平台的信息化实现了对车辆远程监控，行驶轨迹追踪，超速报警等的实时监控，有效杜绝了公车私用、滥用等不合理用车情况</w:t>
            </w:r>
          </w:p>
        </w:tc>
        <w:tc>
          <w:tcPr>
            <w:tcW w:w="970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是</w:t>
            </w:r>
          </w:p>
        </w:tc>
        <w:tc>
          <w:tcPr>
            <w:tcW w:w="1205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5000" w:type="pct"/>
            <w:gridSpan w:val="6"/>
            <w:noWrap w:val="0"/>
            <w:vAlign w:val="center"/>
          </w:tcPr>
          <w:p>
            <w:pPr>
              <w:widowControl w:val="0"/>
              <w:snapToGrid w:val="0"/>
              <w:jc w:val="left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年度目标6：提升机关事务服务专业化、规范化水平，开展公务接待、会议服务、安保人员、司勤人员等专业技能培训6次以上。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  <w:jc w:val="center"/>
        </w:trPr>
        <w:tc>
          <w:tcPr>
            <w:tcW w:w="381" w:type="pct"/>
            <w:vMerge w:val="restar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年度绩效目标完成情况</w:t>
            </w:r>
          </w:p>
        </w:tc>
        <w:tc>
          <w:tcPr>
            <w:tcW w:w="679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一级指标</w:t>
            </w:r>
          </w:p>
        </w:tc>
        <w:tc>
          <w:tcPr>
            <w:tcW w:w="632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二级指标</w:t>
            </w:r>
          </w:p>
        </w:tc>
        <w:tc>
          <w:tcPr>
            <w:tcW w:w="1130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三级指标</w:t>
            </w:r>
          </w:p>
        </w:tc>
        <w:tc>
          <w:tcPr>
            <w:tcW w:w="970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年初目标值</w:t>
            </w:r>
          </w:p>
        </w:tc>
        <w:tc>
          <w:tcPr>
            <w:tcW w:w="1205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实际完成值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381" w:type="pct"/>
            <w:vMerge w:val="continue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</w:p>
        </w:tc>
        <w:tc>
          <w:tcPr>
            <w:tcW w:w="679" w:type="pct"/>
            <w:vMerge w:val="restar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产出指标</w:t>
            </w:r>
          </w:p>
        </w:tc>
        <w:tc>
          <w:tcPr>
            <w:tcW w:w="632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数量指标</w:t>
            </w:r>
          </w:p>
        </w:tc>
        <w:tc>
          <w:tcPr>
            <w:tcW w:w="1130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专业技能培训</w:t>
            </w:r>
          </w:p>
        </w:tc>
        <w:tc>
          <w:tcPr>
            <w:tcW w:w="970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≥6次</w:t>
            </w:r>
          </w:p>
        </w:tc>
        <w:tc>
          <w:tcPr>
            <w:tcW w:w="1205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6次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381" w:type="pct"/>
            <w:vMerge w:val="continue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</w:p>
        </w:tc>
        <w:tc>
          <w:tcPr>
            <w:tcW w:w="679" w:type="pct"/>
            <w:vMerge w:val="continue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</w:p>
        </w:tc>
        <w:tc>
          <w:tcPr>
            <w:tcW w:w="632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质量指标</w:t>
            </w:r>
          </w:p>
        </w:tc>
        <w:tc>
          <w:tcPr>
            <w:tcW w:w="1130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机关后勤服务能力和水平提升</w:t>
            </w:r>
          </w:p>
        </w:tc>
        <w:tc>
          <w:tcPr>
            <w:tcW w:w="970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100%</w:t>
            </w:r>
          </w:p>
        </w:tc>
        <w:tc>
          <w:tcPr>
            <w:tcW w:w="1205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" w:hRule="atLeast"/>
          <w:jc w:val="center"/>
        </w:trPr>
        <w:tc>
          <w:tcPr>
            <w:tcW w:w="381" w:type="pct"/>
            <w:vMerge w:val="continue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</w:p>
        </w:tc>
        <w:tc>
          <w:tcPr>
            <w:tcW w:w="679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效益指标</w:t>
            </w:r>
          </w:p>
        </w:tc>
        <w:tc>
          <w:tcPr>
            <w:tcW w:w="632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社会效益指标</w:t>
            </w:r>
          </w:p>
        </w:tc>
        <w:tc>
          <w:tcPr>
            <w:tcW w:w="1130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highlight w:val="none"/>
                <w:lang w:val="en-US" w:eastAsia="zh-CN"/>
              </w:rPr>
              <w:t>专业培训的开展将不断提升公务服务的质量和水平，确保公务服务制度化、规范化</w:t>
            </w:r>
          </w:p>
        </w:tc>
        <w:tc>
          <w:tcPr>
            <w:tcW w:w="970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是</w:t>
            </w:r>
          </w:p>
        </w:tc>
        <w:tc>
          <w:tcPr>
            <w:tcW w:w="1205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highlight w:val="none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" w:hRule="atLeast"/>
          <w:jc w:val="center"/>
        </w:trPr>
        <w:tc>
          <w:tcPr>
            <w:tcW w:w="381" w:type="pct"/>
            <w:vMerge w:val="continue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</w:p>
        </w:tc>
        <w:tc>
          <w:tcPr>
            <w:tcW w:w="679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满意度指标</w:t>
            </w:r>
          </w:p>
        </w:tc>
        <w:tc>
          <w:tcPr>
            <w:tcW w:w="632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满意度指标</w:t>
            </w:r>
          </w:p>
        </w:tc>
        <w:tc>
          <w:tcPr>
            <w:tcW w:w="1130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highlight w:val="none"/>
                <w:lang w:val="en-US" w:eastAsia="zh-CN"/>
              </w:rPr>
              <w:t>机关干部满意度</w:t>
            </w:r>
          </w:p>
        </w:tc>
        <w:tc>
          <w:tcPr>
            <w:tcW w:w="970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highlight w:val="none"/>
                <w:lang w:val="en-US" w:eastAsia="zh-CN"/>
              </w:rPr>
              <w:t>≥90%</w:t>
            </w:r>
          </w:p>
        </w:tc>
        <w:tc>
          <w:tcPr>
            <w:tcW w:w="1205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95%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7" w:hRule="atLeast"/>
          <w:jc w:val="center"/>
        </w:trPr>
        <w:tc>
          <w:tcPr>
            <w:tcW w:w="1060" w:type="pct"/>
            <w:gridSpan w:val="2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偏差大或</w:t>
            </w:r>
          </w:p>
          <w:p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目标未完成</w:t>
            </w:r>
          </w:p>
          <w:p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原因分析</w:t>
            </w:r>
          </w:p>
        </w:tc>
        <w:tc>
          <w:tcPr>
            <w:tcW w:w="3939" w:type="pct"/>
            <w:gridSpan w:val="4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lang w:val="en-US" w:eastAsia="zh-CN"/>
              </w:rPr>
              <w:t>部分指标未完成，因为绩效目标设置的科学合理性有待加强，部分绩效指标目标值未能根据年度实际工作任务情况进行动态调整，导致绩效目标未完成。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9" w:hRule="atLeast"/>
          <w:jc w:val="center"/>
        </w:trPr>
        <w:tc>
          <w:tcPr>
            <w:tcW w:w="1060" w:type="pct"/>
            <w:gridSpan w:val="2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改进措施及</w:t>
            </w:r>
          </w:p>
          <w:p>
            <w:pPr>
              <w:widowControl w:val="0"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lang w:val="en-US" w:eastAsia="zh-CN"/>
              </w:rPr>
              <w:t>结果应用方案</w:t>
            </w:r>
          </w:p>
        </w:tc>
        <w:tc>
          <w:tcPr>
            <w:tcW w:w="3939" w:type="pct"/>
            <w:gridSpan w:val="4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lang w:val="en-US" w:eastAsia="zh-CN"/>
              </w:rPr>
              <w:t>1.科学合理的设置绩效目标</w:t>
            </w:r>
          </w:p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lang w:val="en-US" w:eastAsia="zh-CN"/>
              </w:rPr>
              <w:t>结合区委、区政府安排的重大任务、上级部门部署应完成工作任务和部门自身的职责及实际工作的情况，根据指标体系一一对应设立绩效目标，避免出现未设立绩效目标和指标值的情况发生。</w:t>
            </w:r>
          </w:p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lang w:val="en-US" w:eastAsia="zh-CN"/>
              </w:rPr>
              <w:t>2.持续细化预算编制工作</w:t>
            </w:r>
          </w:p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lang w:val="en-US" w:eastAsia="zh-CN"/>
              </w:rPr>
              <w:t>持续细化预算编制工作，认真做好预算的编制。进一步加强单位内部机构各股室的预算管理意识，严格按照预算编制的相关制度和要求，公用经费根据单位的年度工作重点和项目专项工作规划，本着“勤俭节约、保障运转”的原则进行预算的编制；编制范围尽可能的全面，不漏项；杜绝预算编制粗放、拍脑袋现象的发生，进一步提高预算编制的科学性、合理性、严谨性和可控性。</w:t>
            </w:r>
          </w:p>
        </w:tc>
      </w:tr>
    </w:tbl>
    <w:p>
      <w:pPr>
        <w:widowControl/>
        <w:spacing w:line="400" w:lineRule="exact"/>
        <w:rPr>
          <w:rFonts w:hint="eastAsia" w:ascii="仿宋" w:hAnsi="仿宋" w:eastAsia="仿宋" w:cs="仿宋"/>
          <w:kern w:val="0"/>
        </w:rPr>
      </w:pPr>
      <w:r>
        <w:rPr>
          <w:rFonts w:hint="eastAsia" w:ascii="仿宋" w:hAnsi="仿宋" w:eastAsia="仿宋" w:cs="仿宋"/>
          <w:kern w:val="0"/>
        </w:rPr>
        <w:t>备注：</w:t>
      </w:r>
    </w:p>
    <w:p>
      <w:pPr>
        <w:widowControl/>
        <w:numPr>
          <w:ilvl w:val="0"/>
          <w:numId w:val="1"/>
        </w:numPr>
        <w:spacing w:line="400" w:lineRule="exact"/>
        <w:ind w:firstLine="400" w:firstLineChars="200"/>
        <w:rPr>
          <w:rFonts w:hint="eastAsia" w:ascii="仿宋" w:hAnsi="仿宋" w:eastAsia="仿宋" w:cs="仿宋"/>
          <w:kern w:val="0"/>
        </w:rPr>
      </w:pPr>
      <w:r>
        <w:rPr>
          <w:rFonts w:hint="eastAsia" w:ascii="仿宋" w:hAnsi="仿宋" w:eastAsia="仿宋" w:cs="仿宋"/>
          <w:kern w:val="0"/>
        </w:rPr>
        <w:t>预算执行情况口径：预算数为年初预算总额（包括上年结余结转），执行数为调整后单位实际支出数。</w:t>
      </w:r>
    </w:p>
    <w:p>
      <w:pPr>
        <w:widowControl/>
        <w:numPr>
          <w:ilvl w:val="0"/>
          <w:numId w:val="1"/>
        </w:numPr>
        <w:spacing w:line="400" w:lineRule="exact"/>
        <w:ind w:firstLine="400" w:firstLineChars="200"/>
        <w:rPr>
          <w:rFonts w:hint="eastAsia" w:ascii="仿宋" w:hAnsi="仿宋" w:eastAsia="仿宋" w:cs="仿宋"/>
          <w:kern w:val="0"/>
        </w:rPr>
      </w:pPr>
      <w:r>
        <w:rPr>
          <w:rFonts w:hint="eastAsia" w:ascii="仿宋" w:hAnsi="仿宋" w:eastAsia="仿宋" w:cs="仿宋"/>
          <w:kern w:val="0"/>
        </w:rPr>
        <w:t>定性指标分档原则：分为达成预期指标、部分达成预期指标并具有一定效果、未达成预期指标且效果较差三档。选择部分达成或未达成的，必须说明原因和改进措施。</w:t>
      </w:r>
    </w:p>
    <w:p>
      <w:pPr>
        <w:ind w:left="0" w:leftChars="0" w:firstLine="400" w:firstLineChars="200"/>
        <w:rPr>
          <w:rFonts w:hint="eastAsia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  <w:kern w:val="0"/>
        </w:rPr>
        <w:t>3.基于经济性和必要性等因素考虑，满意度指标难以统计的，在自评时可不作为必评指标。</w:t>
      </w:r>
    </w:p>
    <w:sectPr>
      <w:headerReference r:id="rId3" w:type="default"/>
      <w:footerReference r:id="rId5" w:type="default"/>
      <w:headerReference r:id="rId4" w:type="even"/>
      <w:footerReference r:id="rId6" w:type="even"/>
      <w:pgSz w:w="11906" w:h="16838"/>
      <w:pgMar w:top="1928" w:right="1531" w:bottom="1814" w:left="1531" w:header="851" w:footer="1418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2507615</wp:posOffset>
              </wp:positionH>
              <wp:positionV relativeFrom="paragraph">
                <wp:posOffset>-70485</wp:posOffset>
              </wp:positionV>
              <wp:extent cx="614045" cy="292735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14045" cy="292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6"/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sz w:val="24"/>
                              <w:szCs w:val="24"/>
                            </w:rPr>
                            <w:t>- 1 -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upright="0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197.45pt;margin-top:-5.55pt;height:23.05pt;width:48.35pt;mso-position-horizontal-relative:margin;z-index:251659264;mso-width-relative:page;mso-height-relative:page;" filled="f" stroked="f" coordsize="21600,21600" o:gfxdata="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AAAAAGRycy9QSwECFAAU&#10;AAAACACHTuJA/huUgdkAAAAKAQAADwAAAAAAAAABACAAAAAiAAAAZHJzL2Rvd25yZXYueG1sUEsB&#10;AhQAFAAAAAgAh07iQKm8Wci7AQAAcQMAAA4AAAAAAAAAAQAgAAAAKAEAAGRycy9lMm9Eb2MueG1s&#10;UEsFBgAAAAAGAAYAWQEAAFU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pStyle w:val="6"/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sz w:val="24"/>
                        <w:szCs w:val="24"/>
                      </w:rPr>
                      <w:t>- 1 -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right="360" w:firstLine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- 2 -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- 2 -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E2B1864"/>
    <w:multiLevelType w:val="singleLevel"/>
    <w:tmpl w:val="3E2B1864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attachedTemplate r:id="rId1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AxMWNkNDQzYzU2NTUzMDE3NmU5OTlhYjhiNzc0MzAifQ=="/>
  </w:docVars>
  <w:rsids>
    <w:rsidRoot w:val="5739691D"/>
    <w:rsid w:val="00004EEE"/>
    <w:rsid w:val="01394550"/>
    <w:rsid w:val="01E83F44"/>
    <w:rsid w:val="020C5505"/>
    <w:rsid w:val="041B6CAE"/>
    <w:rsid w:val="057E1A4A"/>
    <w:rsid w:val="066E57BB"/>
    <w:rsid w:val="067A5F0E"/>
    <w:rsid w:val="07127380"/>
    <w:rsid w:val="0885368C"/>
    <w:rsid w:val="094C017C"/>
    <w:rsid w:val="095B0463"/>
    <w:rsid w:val="09C01FBF"/>
    <w:rsid w:val="0D0240D2"/>
    <w:rsid w:val="0EA561D3"/>
    <w:rsid w:val="110C5584"/>
    <w:rsid w:val="111D79ED"/>
    <w:rsid w:val="11345C6B"/>
    <w:rsid w:val="122343C6"/>
    <w:rsid w:val="13D1738A"/>
    <w:rsid w:val="146637C9"/>
    <w:rsid w:val="14733F9D"/>
    <w:rsid w:val="15077155"/>
    <w:rsid w:val="16886BE8"/>
    <w:rsid w:val="17324F2C"/>
    <w:rsid w:val="1735140A"/>
    <w:rsid w:val="175D3C40"/>
    <w:rsid w:val="18912A1E"/>
    <w:rsid w:val="1A741B58"/>
    <w:rsid w:val="1AF07E89"/>
    <w:rsid w:val="1B965141"/>
    <w:rsid w:val="1CA910C1"/>
    <w:rsid w:val="1D4806BC"/>
    <w:rsid w:val="1D735340"/>
    <w:rsid w:val="1D8F5FBE"/>
    <w:rsid w:val="1F1906F9"/>
    <w:rsid w:val="20C553E4"/>
    <w:rsid w:val="216B6728"/>
    <w:rsid w:val="2254756E"/>
    <w:rsid w:val="23CE378B"/>
    <w:rsid w:val="256C5021"/>
    <w:rsid w:val="25DD0FCC"/>
    <w:rsid w:val="28584D1D"/>
    <w:rsid w:val="2917103E"/>
    <w:rsid w:val="294D2BB7"/>
    <w:rsid w:val="2AF11C92"/>
    <w:rsid w:val="2C841941"/>
    <w:rsid w:val="2E22755B"/>
    <w:rsid w:val="31130AAF"/>
    <w:rsid w:val="31CB0227"/>
    <w:rsid w:val="329D2CAF"/>
    <w:rsid w:val="3312562C"/>
    <w:rsid w:val="355F4C5B"/>
    <w:rsid w:val="37531267"/>
    <w:rsid w:val="37683F9E"/>
    <w:rsid w:val="379028BA"/>
    <w:rsid w:val="3A104AA6"/>
    <w:rsid w:val="3AE30ED1"/>
    <w:rsid w:val="3B4B7D2D"/>
    <w:rsid w:val="3D504A37"/>
    <w:rsid w:val="3E070D68"/>
    <w:rsid w:val="3E081302"/>
    <w:rsid w:val="3E3B5A17"/>
    <w:rsid w:val="3E941703"/>
    <w:rsid w:val="3EBF6AE1"/>
    <w:rsid w:val="3F2B7769"/>
    <w:rsid w:val="3F5147E9"/>
    <w:rsid w:val="3FC42A9F"/>
    <w:rsid w:val="402C2584"/>
    <w:rsid w:val="42FE51F6"/>
    <w:rsid w:val="43750B18"/>
    <w:rsid w:val="44264881"/>
    <w:rsid w:val="46731D32"/>
    <w:rsid w:val="47073F91"/>
    <w:rsid w:val="47CB141F"/>
    <w:rsid w:val="4803669E"/>
    <w:rsid w:val="498A6A6C"/>
    <w:rsid w:val="49DD6167"/>
    <w:rsid w:val="49E84813"/>
    <w:rsid w:val="4ACF2CC7"/>
    <w:rsid w:val="4AE529FD"/>
    <w:rsid w:val="4AF33368"/>
    <w:rsid w:val="4C6272F1"/>
    <w:rsid w:val="4D4041AC"/>
    <w:rsid w:val="4E457533"/>
    <w:rsid w:val="4E744BA0"/>
    <w:rsid w:val="501807EC"/>
    <w:rsid w:val="504908E4"/>
    <w:rsid w:val="51DD00FA"/>
    <w:rsid w:val="51E56D23"/>
    <w:rsid w:val="52A27BF9"/>
    <w:rsid w:val="52E6087E"/>
    <w:rsid w:val="53C612BF"/>
    <w:rsid w:val="53DF53BE"/>
    <w:rsid w:val="54430190"/>
    <w:rsid w:val="54AE1B95"/>
    <w:rsid w:val="5739691D"/>
    <w:rsid w:val="57403757"/>
    <w:rsid w:val="58B90230"/>
    <w:rsid w:val="59E20F76"/>
    <w:rsid w:val="5CB72E9E"/>
    <w:rsid w:val="5ECE2DB9"/>
    <w:rsid w:val="5F21722B"/>
    <w:rsid w:val="5FFD2386"/>
    <w:rsid w:val="60FE6B2E"/>
    <w:rsid w:val="618E5AB2"/>
    <w:rsid w:val="61C5318B"/>
    <w:rsid w:val="62606EBF"/>
    <w:rsid w:val="62FC1497"/>
    <w:rsid w:val="63EF49BB"/>
    <w:rsid w:val="64A925F6"/>
    <w:rsid w:val="64D545B9"/>
    <w:rsid w:val="64D90827"/>
    <w:rsid w:val="65BD6784"/>
    <w:rsid w:val="65C47935"/>
    <w:rsid w:val="665C11FC"/>
    <w:rsid w:val="689A4838"/>
    <w:rsid w:val="6A2F2911"/>
    <w:rsid w:val="6B9C41A0"/>
    <w:rsid w:val="6C4433CA"/>
    <w:rsid w:val="6CD60C2C"/>
    <w:rsid w:val="6E2A4841"/>
    <w:rsid w:val="7153700F"/>
    <w:rsid w:val="72F8140A"/>
    <w:rsid w:val="76201C3D"/>
    <w:rsid w:val="767444CC"/>
    <w:rsid w:val="76901CD6"/>
    <w:rsid w:val="76CD53B2"/>
    <w:rsid w:val="7944198F"/>
    <w:rsid w:val="79996B0B"/>
    <w:rsid w:val="79AB2B7E"/>
    <w:rsid w:val="79CD15E6"/>
    <w:rsid w:val="7B2C76AB"/>
    <w:rsid w:val="7B405FC3"/>
    <w:rsid w:val="7BC00911"/>
    <w:rsid w:val="7BF02C26"/>
    <w:rsid w:val="7C48149F"/>
    <w:rsid w:val="7D502EDA"/>
    <w:rsid w:val="7F6556D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6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6"/>
    <w:rPr>
      <w:rFonts w:ascii="Times New Roman" w:hAnsi="Times New Roman" w:eastAsia="宋体" w:cs="Times New Roman"/>
      <w:lang w:val="zh-CN" w:eastAsia="en-US" w:bidi="ar-SA"/>
    </w:rPr>
  </w:style>
  <w:style w:type="character" w:default="1" w:styleId="9">
    <w:name w:val="Default Paragraph Font"/>
    <w:autoRedefine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PlainText"/>
    <w:basedOn w:val="1"/>
    <w:next w:val="3"/>
    <w:autoRedefine/>
    <w:qFormat/>
    <w:uiPriority w:val="0"/>
    <w:pPr>
      <w:widowControl/>
      <w:ind w:left="1800" w:hanging="360"/>
      <w:jc w:val="left"/>
      <w:textAlignment w:val="baseline"/>
    </w:pPr>
    <w:rPr>
      <w:rFonts w:ascii="宋体" w:hAnsi="Courier New" w:eastAsia="宋体"/>
      <w:color w:val="000000"/>
      <w:kern w:val="0"/>
      <w:sz w:val="24"/>
      <w:szCs w:val="20"/>
      <w:lang w:val="en-US" w:eastAsia="zh-CN" w:bidi="ar-SA"/>
    </w:rPr>
  </w:style>
  <w:style w:type="paragraph" w:customStyle="1" w:styleId="3">
    <w:name w:val="UserStyle_0"/>
    <w:autoRedefine/>
    <w:qFormat/>
    <w:uiPriority w:val="0"/>
    <w:pPr>
      <w:textAlignment w:val="baseline"/>
    </w:pPr>
    <w:rPr>
      <w:rFonts w:ascii="Times New Roman" w:hAnsi="Times New Roman" w:eastAsia="宋体" w:cs="Times New Roman"/>
      <w:color w:val="000000"/>
      <w:sz w:val="24"/>
      <w:szCs w:val="24"/>
      <w:lang w:val="en-US" w:eastAsia="zh-CN" w:bidi="ar-SA"/>
    </w:rPr>
  </w:style>
  <w:style w:type="paragraph" w:styleId="4">
    <w:name w:val="annotation text"/>
    <w:basedOn w:val="1"/>
    <w:autoRedefine/>
    <w:qFormat/>
    <w:uiPriority w:val="0"/>
    <w:pPr>
      <w:jc w:val="left"/>
    </w:pPr>
  </w:style>
  <w:style w:type="paragraph" w:styleId="5">
    <w:name w:val="Body Text"/>
    <w:basedOn w:val="1"/>
    <w:autoRedefine/>
    <w:unhideWhenUsed/>
    <w:qFormat/>
    <w:uiPriority w:val="99"/>
    <w:pPr>
      <w:spacing w:after="120" w:afterLines="0" w:afterAutospacing="0"/>
    </w:pPr>
  </w:style>
  <w:style w:type="paragraph" w:styleId="6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customStyle="1" w:styleId="10">
    <w:name w:val="Normal"/>
    <w:autoRedefine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enovo\Desktop\2021&#24180;&#24230;&#25903;&#20986;&#32489;&#25928;&#35780;&#20215;-&#20154;&#22823;\&#25972;&#20307;&#25903;&#20986;&#32489;&#25928;&#33258;&#35780;&#34920;-2021&#24180;&#20154;&#22823;&#21150;&#20844;&#23460;&#37096;&#38376;&#25972;&#20307;&#25903;&#20986;.doc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整体支出绩效自评表-2021年人大办公室部门整体支出.doc</Template>
  <Pages>4</Pages>
  <Words>1824</Words>
  <Characters>1980</Characters>
  <Lines>0</Lines>
  <Paragraphs>0</Paragraphs>
  <TotalTime>1</TotalTime>
  <ScaleCrop>false</ScaleCrop>
  <LinksUpToDate>false</LinksUpToDate>
  <CharactersWithSpaces>1990</CharactersWithSpaces>
  <Application>WPS Office_12.1.0.16412_F1E327BC-269C-435d-A152-05C5408002CA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2022-03-17T10:15:00Z</dcterms:created>
  <dc:creator>张雅玲</dc:creator>
  <cp:lastModifiedBy>赵霞</cp:lastModifiedBy>
  <dcterms:modified xsi:type="dcterms:W3CDTF">2024-11-20T06:59:16Z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2052-12.1.0.16412</vt:lpwstr>
  </property>
  <property fmtid="{D5CDD505-2E9C-101B-9397-08002B2CF9AE}" pid="3" name="ICV">
    <vt:lpwstr>FE438A3088344BB39F7D5B7D2903CD23</vt:lpwstr>
  </property>
</Properties>
</file>