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武汉市蔡甸区红十字会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2024年度部门整体绩效自评结果</w:t>
      </w:r>
    </w:p>
    <w:p>
      <w:pPr>
        <w:keepNext w:val="0"/>
        <w:keepLines w:val="0"/>
        <w:pageBreakBefore w:val="0"/>
        <w:widowControl/>
        <w:tabs>
          <w:tab w:val="right" w:pos="7664"/>
        </w:tabs>
        <w:kinsoku/>
        <w:wordWrap/>
        <w:overflowPunct/>
        <w:topLinePunct w:val="0"/>
        <w:autoSpaceDE/>
        <w:autoSpaceDN/>
        <w:bidi w:val="0"/>
        <w:adjustRightInd/>
        <w:snapToGrid/>
        <w:spacing w:line="560" w:lineRule="exact"/>
        <w:ind w:firstLine="642" w:firstLineChars="200"/>
        <w:jc w:val="both"/>
        <w:textAlignment w:val="auto"/>
        <w:rPr>
          <w:rFonts w:hint="eastAsia" w:ascii="仿宋" w:hAnsi="仿宋" w:eastAsia="仿宋" w:cs="仿宋"/>
          <w:b/>
          <w:bCs w:val="0"/>
          <w:sz w:val="32"/>
          <w:szCs w:val="32"/>
        </w:rPr>
      </w:pPr>
    </w:p>
    <w:p>
      <w:pPr>
        <w:keepNext w:val="0"/>
        <w:keepLines w:val="0"/>
        <w:pageBreakBefore w:val="0"/>
        <w:widowControl/>
        <w:tabs>
          <w:tab w:val="right" w:pos="7664"/>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val="0"/>
          <w:sz w:val="32"/>
          <w:szCs w:val="32"/>
          <w:lang w:eastAsia="zh-CN"/>
        </w:rPr>
      </w:pPr>
      <w:r>
        <w:rPr>
          <w:rFonts w:hint="eastAsia" w:ascii="CESI黑体-GB2312" w:hAnsi="CESI黑体-GB2312" w:eastAsia="CESI黑体-GB2312" w:cs="CESI黑体-GB2312"/>
          <w:b w:val="0"/>
          <w:bCs/>
          <w:sz w:val="32"/>
          <w:szCs w:val="32"/>
        </w:rPr>
        <w:t>一、</w:t>
      </w:r>
      <w:r>
        <w:rPr>
          <w:rFonts w:hint="eastAsia" w:ascii="CESI黑体-GB2312" w:hAnsi="CESI黑体-GB2312" w:eastAsia="CESI黑体-GB2312" w:cs="CESI黑体-GB2312"/>
          <w:b w:val="0"/>
          <w:bCs/>
          <w:sz w:val="32"/>
          <w:szCs w:val="32"/>
          <w:lang w:eastAsia="zh-CN"/>
        </w:rPr>
        <w:t>自评结论</w:t>
      </w:r>
      <w:r>
        <w:rPr>
          <w:rFonts w:hint="eastAsia" w:ascii="仿宋" w:hAnsi="仿宋" w:eastAsia="仿宋" w:cs="仿宋"/>
          <w:b/>
          <w:bCs w:val="0"/>
          <w:sz w:val="32"/>
          <w:szCs w:val="32"/>
          <w:lang w:eastAsia="zh-CN"/>
        </w:rPr>
        <w:tab/>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（一）整体绩效自评得分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加强财政支出管理，强化支出责任，建立科学、合理的财政支出绩效评价管理体系，提高财政资金使用效益，根据《中华人民共和国预算法》等有关规定，武汉市蔡甸区红十字会对绩效目标设定情况、资金投入和使用情况等进行评价，自评</w:t>
      </w:r>
      <w:r>
        <w:rPr>
          <w:rFonts w:hint="eastAsia" w:ascii="仿宋_GB2312" w:hAnsi="仿宋_GB2312" w:eastAsia="仿宋_GB2312" w:cs="仿宋_GB2312"/>
          <w:sz w:val="32"/>
          <w:szCs w:val="32"/>
          <w:lang w:val="en-US" w:eastAsia="zh-CN"/>
        </w:rPr>
        <w:t>结果为优</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）整体绩效目标完成情况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lang w:eastAsia="zh-CN"/>
        </w:rPr>
        <w:t>执行率情况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武汉市</w:t>
      </w:r>
      <w:r>
        <w:rPr>
          <w:rFonts w:hint="eastAsia" w:ascii="仿宋_GB2312" w:hAnsi="仿宋_GB2312" w:eastAsia="仿宋_GB2312" w:cs="仿宋_GB2312"/>
          <w:sz w:val="32"/>
          <w:szCs w:val="32"/>
          <w:highlight w:val="none"/>
          <w:lang w:eastAsia="zh-CN"/>
        </w:rPr>
        <w:t>蔡甸区</w:t>
      </w:r>
      <w:r>
        <w:rPr>
          <w:rFonts w:hint="eastAsia" w:ascii="仿宋_GB2312" w:hAnsi="仿宋_GB2312" w:eastAsia="仿宋_GB2312" w:cs="仿宋_GB2312"/>
          <w:sz w:val="32"/>
          <w:szCs w:val="32"/>
          <w:highlight w:val="none"/>
          <w:lang w:val="en-US" w:eastAsia="zh-CN"/>
        </w:rPr>
        <w:t>红十字会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以下简称“</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kern w:val="0"/>
          <w:sz w:val="32"/>
          <w:szCs w:val="32"/>
          <w:highlight w:val="none"/>
          <w:lang w:val="en-US" w:eastAsia="zh-CN"/>
        </w:rPr>
        <w:t>红十字会</w:t>
      </w:r>
      <w:r>
        <w:rPr>
          <w:rFonts w:hint="eastAsia" w:ascii="仿宋_GB2312" w:hAnsi="仿宋_GB2312" w:eastAsia="仿宋_GB2312" w:cs="仿宋_GB2312"/>
          <w:sz w:val="32"/>
          <w:szCs w:val="32"/>
          <w:highlight w:val="none"/>
          <w:lang w:val="en-US" w:eastAsia="zh-CN"/>
        </w:rPr>
        <w:t>”）2024年部门整体预算金额202.98万元，部门决算支出188.44万元,预算执行率92.84%。</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lang w:eastAsia="zh-CN"/>
        </w:rPr>
        <w:t>完成的绩效目标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2024年度</w:t>
      </w:r>
      <w:r>
        <w:rPr>
          <w:rFonts w:hint="eastAsia"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lang w:eastAsia="zh-CN"/>
        </w:rPr>
        <w:t>红十字会</w:t>
      </w:r>
      <w:r>
        <w:rPr>
          <w:rFonts w:hint="eastAsia" w:ascii="仿宋_GB2312" w:hAnsi="仿宋_GB2312" w:eastAsia="仿宋_GB2312" w:cs="仿宋_GB2312"/>
          <w:kern w:val="0"/>
          <w:sz w:val="32"/>
          <w:szCs w:val="32"/>
          <w:lang w:val="en-US" w:eastAsia="zh-CN"/>
        </w:rPr>
        <w:t>部门整体</w:t>
      </w:r>
      <w:r>
        <w:rPr>
          <w:rFonts w:hint="eastAsia" w:ascii="仿宋_GB2312" w:hAnsi="仿宋_GB2312" w:eastAsia="仿宋_GB2312" w:cs="仿宋_GB2312"/>
          <w:bCs/>
          <w:color w:val="000000"/>
          <w:sz w:val="32"/>
          <w:szCs w:val="32"/>
          <w:lang w:val="en-US" w:eastAsia="zh-CN"/>
        </w:rPr>
        <w:t>绩效目标均完成绩效指标情况如下：</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产出指标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①数量指标：培训救护员</w:t>
      </w:r>
      <w:r>
        <w:rPr>
          <w:rFonts w:hint="eastAsia" w:ascii="仿宋_GB2312" w:hAnsi="仿宋_GB2312" w:eastAsia="仿宋_GB2312" w:cs="仿宋_GB2312"/>
          <w:sz w:val="32"/>
          <w:szCs w:val="32"/>
          <w:lang w:val="en-US" w:eastAsia="zh-CN"/>
        </w:rPr>
        <w:t>1849</w:t>
      </w:r>
      <w:r>
        <w:rPr>
          <w:rFonts w:hint="eastAsia" w:ascii="仿宋_GB2312" w:hAnsi="仿宋_GB2312" w:eastAsia="仿宋_GB2312" w:cs="仿宋_GB2312"/>
          <w:sz w:val="32"/>
          <w:szCs w:val="32"/>
        </w:rPr>
        <w:t>人，普及救护培训</w:t>
      </w:r>
      <w:r>
        <w:rPr>
          <w:rFonts w:hint="eastAsia" w:ascii="仿宋_GB2312" w:hAnsi="仿宋_GB2312" w:eastAsia="仿宋_GB2312" w:cs="仿宋_GB2312"/>
          <w:sz w:val="32"/>
          <w:szCs w:val="32"/>
          <w:lang w:val="en-US" w:eastAsia="zh-CN"/>
        </w:rPr>
        <w:t>9770</w:t>
      </w:r>
      <w:r>
        <w:rPr>
          <w:rFonts w:hint="eastAsia" w:ascii="仿宋_GB2312" w:hAnsi="仿宋_GB2312" w:eastAsia="仿宋_GB2312" w:cs="仿宋_GB2312"/>
          <w:sz w:val="32"/>
          <w:szCs w:val="32"/>
        </w:rPr>
        <w:t>人次，组织志愿服务活动</w:t>
      </w:r>
      <w:r>
        <w:rPr>
          <w:rFonts w:hint="eastAsia" w:ascii="仿宋_GB2312" w:hAnsi="仿宋_GB2312" w:eastAsia="仿宋_GB2312" w:cs="仿宋_GB2312"/>
          <w:sz w:val="32"/>
          <w:szCs w:val="32"/>
          <w:lang w:val="en-US" w:eastAsia="zh-CN"/>
        </w:rPr>
        <w:t>24期</w:t>
      </w:r>
      <w:r>
        <w:rPr>
          <w:rFonts w:hint="eastAsia" w:ascii="仿宋_GB2312" w:hAnsi="仿宋_GB2312" w:eastAsia="仿宋_GB2312" w:cs="仿宋_GB2312"/>
          <w:sz w:val="32"/>
          <w:szCs w:val="32"/>
        </w:rPr>
        <w:t>，新增志愿者</w:t>
      </w:r>
      <w:r>
        <w:rPr>
          <w:rFonts w:hint="eastAsia" w:ascii="仿宋_GB2312" w:hAnsi="仿宋_GB2312" w:eastAsia="仿宋_GB2312" w:cs="仿宋_GB2312"/>
          <w:sz w:val="32"/>
          <w:szCs w:val="32"/>
          <w:lang w:val="en-US" w:eastAsia="zh-CN"/>
        </w:rPr>
        <w:t>1314</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区红十字网站发布</w:t>
      </w:r>
      <w:r>
        <w:rPr>
          <w:rFonts w:hint="eastAsia" w:ascii="仿宋_GB2312" w:hAnsi="仿宋_GB2312" w:eastAsia="仿宋_GB2312" w:cs="仿宋_GB2312"/>
          <w:sz w:val="32"/>
          <w:szCs w:val="32"/>
        </w:rPr>
        <w:t>信息数量</w:t>
      </w:r>
      <w:r>
        <w:rPr>
          <w:rFonts w:hint="eastAsia" w:ascii="仿宋_GB2312" w:hAnsi="仿宋_GB2312" w:eastAsia="仿宋_GB2312" w:cs="仿宋_GB2312"/>
          <w:sz w:val="32"/>
          <w:szCs w:val="32"/>
          <w:lang w:val="en-US" w:eastAsia="zh-CN"/>
        </w:rPr>
        <w:t>40余篇。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②质量指标：参加救护培训人员合格率100%</w:t>
      </w:r>
      <w:r>
        <w:rPr>
          <w:rFonts w:hint="eastAsia" w:ascii="仿宋_GB2312" w:hAnsi="仿宋_GB2312" w:eastAsia="仿宋_GB2312" w:cs="仿宋_GB2312"/>
          <w:sz w:val="32"/>
          <w:szCs w:val="32"/>
          <w:lang w:eastAsia="zh-CN"/>
        </w:rPr>
        <w:t>，志愿服务活动圆满成功，机关正常运行率</w:t>
      </w:r>
      <w:r>
        <w:rPr>
          <w:rFonts w:hint="eastAsia" w:ascii="仿宋_GB2312" w:hAnsi="仿宋_GB2312" w:eastAsia="仿宋_GB2312" w:cs="仿宋_GB2312"/>
          <w:sz w:val="32"/>
          <w:szCs w:val="32"/>
          <w:lang w:val="en-US" w:eastAsia="zh-CN"/>
        </w:rPr>
        <w:t>100%，宣传方式多样性3种。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lang w:val="en-US" w:eastAsia="zh-CN"/>
        </w:rPr>
        <w:t>时效</w:t>
      </w:r>
      <w:r>
        <w:rPr>
          <w:rFonts w:hint="eastAsia" w:ascii="仿宋_GB2312" w:hAnsi="仿宋_GB2312" w:eastAsia="仿宋_GB2312" w:cs="仿宋_GB2312"/>
          <w:sz w:val="32"/>
          <w:szCs w:val="32"/>
        </w:rPr>
        <w:t>指标：培训完成时间</w:t>
      </w:r>
      <w:r>
        <w:rPr>
          <w:rFonts w:hint="eastAsia" w:ascii="仿宋_GB2312" w:hAnsi="仿宋_GB2312" w:eastAsia="仿宋_GB2312" w:cs="仿宋_GB2312"/>
          <w:sz w:val="32"/>
          <w:szCs w:val="32"/>
          <w:lang w:val="en-US" w:eastAsia="zh-CN"/>
        </w:rPr>
        <w:t>12月底</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效益指标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①社会效益指标：</w:t>
      </w:r>
      <w:r>
        <w:rPr>
          <w:rFonts w:hint="eastAsia" w:ascii="仿宋_GB2312" w:hAnsi="仿宋_GB2312" w:eastAsia="仿宋_GB2312" w:cs="仿宋_GB2312"/>
          <w:sz w:val="32"/>
          <w:szCs w:val="32"/>
          <w:lang w:val="en-US" w:eastAsia="zh-CN"/>
        </w:rPr>
        <w:t>为区内突出事件存积救援力量；</w:t>
      </w:r>
      <w:r>
        <w:rPr>
          <w:rFonts w:hint="eastAsia" w:ascii="仿宋_GB2312" w:hAnsi="仿宋_GB2312" w:eastAsia="仿宋_GB2312" w:cs="仿宋_GB2312"/>
          <w:sz w:val="32"/>
          <w:szCs w:val="32"/>
        </w:rPr>
        <w:t>提高群众自救能力和应急处置能力</w:t>
      </w:r>
      <w:r>
        <w:rPr>
          <w:rFonts w:hint="eastAsia" w:ascii="仿宋_GB2312" w:hAnsi="仿宋_GB2312" w:eastAsia="仿宋_GB2312" w:cs="仿宋_GB2312"/>
          <w:sz w:val="32"/>
          <w:szCs w:val="32"/>
          <w:lang w:eastAsia="zh-CN"/>
        </w:rPr>
        <w:t>；保障红十字会工作顺利开展，更好服务于民。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满意度指标：</w:t>
      </w:r>
      <w:r>
        <w:rPr>
          <w:rFonts w:hint="eastAsia" w:ascii="仿宋_GB2312" w:hAnsi="仿宋_GB2312" w:eastAsia="仿宋_GB2312" w:cs="仿宋_GB2312"/>
          <w:sz w:val="32"/>
          <w:szCs w:val="32"/>
          <w:lang w:val="en-US" w:eastAsia="zh-CN"/>
        </w:rPr>
        <w:t>社会</w:t>
      </w:r>
      <w:r>
        <w:rPr>
          <w:rFonts w:hint="eastAsia" w:ascii="仿宋_GB2312" w:hAnsi="仿宋_GB2312" w:eastAsia="仿宋_GB2312" w:cs="仿宋_GB2312"/>
          <w:sz w:val="32"/>
          <w:szCs w:val="32"/>
        </w:rPr>
        <w:t>群众满意度100%。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3.未完成的绩效目标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年度区红十字</w:t>
      </w:r>
      <w:r>
        <w:rPr>
          <w:rFonts w:hint="eastAsia" w:ascii="仿宋_GB2312" w:hAnsi="仿宋_GB2312" w:eastAsia="仿宋_GB2312" w:cs="仿宋_GB2312"/>
          <w:sz w:val="32"/>
          <w:szCs w:val="32"/>
          <w:lang w:val="en-US" w:eastAsia="zh-CN"/>
        </w:rPr>
        <w:t>部门整体</w:t>
      </w:r>
      <w:r>
        <w:rPr>
          <w:rFonts w:hint="eastAsia" w:ascii="仿宋_GB2312" w:hAnsi="仿宋_GB2312" w:eastAsia="仿宋_GB2312" w:cs="仿宋_GB2312"/>
          <w:sz w:val="32"/>
          <w:szCs w:val="32"/>
        </w:rPr>
        <w:t>绩效目标均完成，无未完成绩效目标。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（三）</w:t>
      </w:r>
      <w:r>
        <w:rPr>
          <w:rFonts w:hint="eastAsia" w:ascii="楷体_GB2312" w:hAnsi="楷体_GB2312" w:eastAsia="楷体_GB2312" w:cs="楷体_GB2312"/>
          <w:b w:val="0"/>
          <w:bCs/>
          <w:sz w:val="32"/>
          <w:szCs w:val="32"/>
        </w:rPr>
        <w:t>存在的问题和原因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预算执行率92.84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，预算执行率偏离原因：资金支出科目预计不充分，出现有的科目支出不足，有的科目结余。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（四）</w:t>
      </w:r>
      <w:r>
        <w:rPr>
          <w:rFonts w:hint="eastAsia" w:ascii="楷体_GB2312" w:hAnsi="楷体_GB2312" w:eastAsia="楷体_GB2312" w:cs="楷体_GB2312"/>
          <w:b w:val="0"/>
          <w:bCs/>
          <w:sz w:val="32"/>
          <w:szCs w:val="32"/>
        </w:rPr>
        <w:t>下一步</w:t>
      </w:r>
      <w:r>
        <w:rPr>
          <w:rFonts w:hint="eastAsia" w:ascii="楷体_GB2312" w:hAnsi="楷体_GB2312" w:eastAsia="楷体_GB2312" w:cs="楷体_GB2312"/>
          <w:b w:val="0"/>
          <w:bCs/>
          <w:sz w:val="32"/>
          <w:szCs w:val="32"/>
          <w:lang w:eastAsia="zh-CN"/>
        </w:rPr>
        <w:t>工作</w:t>
      </w:r>
      <w:r>
        <w:rPr>
          <w:rFonts w:hint="eastAsia" w:ascii="楷体_GB2312" w:hAnsi="楷体_GB2312" w:eastAsia="楷体_GB2312" w:cs="楷体_GB2312"/>
          <w:b w:val="0"/>
          <w:bCs/>
          <w:sz w:val="32"/>
          <w:szCs w:val="32"/>
        </w:rPr>
        <w:t>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1.细化预算编制工作。</w:t>
      </w:r>
      <w:r>
        <w:rPr>
          <w:rFonts w:hint="eastAsia" w:ascii="仿宋_GB2312" w:hAnsi="仿宋_GB2312" w:eastAsia="仿宋_GB2312" w:cs="仿宋_GB2312"/>
          <w:sz w:val="32"/>
          <w:szCs w:val="32"/>
          <w:lang w:val="en-US" w:eastAsia="zh-CN"/>
        </w:rPr>
        <w:t>进一步加强单位内部机构的预算管理意识，严格按照预算编制的相关制度和要求，公用经费根据单位的年度工作重点和项目专项工作规划，本着“勤俭节约、保障运转”的原则进行预算的编制；编制范围尽可能的全面，不漏项；杜绝预算编制粗放、拍脑袋现象的发生，进一步提高预算编制的科学性、合理性、严谨性和可控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2.遵循预算管理办法。</w:t>
      </w:r>
      <w:r>
        <w:rPr>
          <w:rFonts w:hint="eastAsia" w:ascii="仿宋_GB2312" w:hAnsi="仿宋_GB2312" w:eastAsia="仿宋_GB2312" w:cs="仿宋_GB2312"/>
          <w:sz w:val="32"/>
          <w:szCs w:val="32"/>
          <w:lang w:val="en-US" w:eastAsia="zh-CN"/>
        </w:rPr>
        <w:t>对于年度无法预计的相关工作所需费用和结余资金确保资金严格按照预算专项资金使用程序申报及使用，按照预算项目和使用用途执行，杜绝费用项目之间调剂使用现象的发生。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3.预算财务分析常态化。</w:t>
      </w:r>
      <w:r>
        <w:rPr>
          <w:rFonts w:hint="eastAsia" w:ascii="仿宋_GB2312" w:hAnsi="仿宋_GB2312" w:eastAsia="仿宋_GB2312" w:cs="仿宋_GB2312"/>
          <w:sz w:val="32"/>
          <w:szCs w:val="32"/>
          <w:lang w:val="en-US" w:eastAsia="zh-CN"/>
        </w:rPr>
        <w:t>定期做好支出预算财务分析，及时对费用预算执行情况进行通报和预警，定期对预算单位的预算执行情况进行检查，做好部门整体支出预算评价工作。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CESI黑体-GB2312" w:hAnsi="CESI黑体-GB2312" w:eastAsia="CESI黑体-GB2312" w:cs="CESI黑体-GB2312"/>
          <w:b w:val="0"/>
          <w:bCs/>
          <w:sz w:val="32"/>
          <w:szCs w:val="32"/>
          <w:lang w:eastAsia="zh-CN"/>
        </w:rPr>
      </w:pPr>
      <w:r>
        <w:rPr>
          <w:rFonts w:hint="eastAsia" w:ascii="CESI黑体-GB2312" w:hAnsi="CESI黑体-GB2312" w:eastAsia="CESI黑体-GB2312" w:cs="CESI黑体-GB2312"/>
          <w:b w:val="0"/>
          <w:bCs/>
          <w:sz w:val="32"/>
          <w:szCs w:val="32"/>
          <w:lang w:eastAsia="zh-CN"/>
        </w:rPr>
        <w:t>二、佐证材料</w:t>
      </w:r>
    </w:p>
    <w:p>
      <w:pPr>
        <w:pStyle w:val="4"/>
        <w:ind w:firstLine="642"/>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（一）基本情况</w:t>
      </w:r>
    </w:p>
    <w:p>
      <w:pPr>
        <w:keepNext w:val="0"/>
        <w:keepLines w:val="0"/>
        <w:widowControl w:val="0"/>
        <w:suppressLineNumbers w:val="0"/>
        <w:autoSpaceDE w:val="0"/>
        <w:autoSpaceDN/>
        <w:spacing w:before="0" w:beforeAutospacing="0" w:after="0" w:afterAutospacing="0" w:line="579" w:lineRule="exact"/>
        <w:ind w:left="0" w:right="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lang w:val="en-US" w:eastAsia="zh-CN"/>
        </w:rPr>
        <w:t>红十字会2024年预算总额资金共202.98万元（全部为财政拨款收入），预算调减数为14.54万元，调减后预算数188.44万元。2024年度本年支出188.44万元。其中：基本支出179.96万元，项目支出8.48万元。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2.整体绩效目标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提升应急救护师资全面参与“四大比拼”“十大工程”执行力，规范应急救护师资专业化、规范化管理，本年度完成应急救护师资培训10人以上。</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助力共同缔造，组织志愿服务活动</w:t>
      </w:r>
      <w:r>
        <w:rPr>
          <w:rFonts w:hint="eastAsia" w:ascii="仿宋_GB2312" w:hAnsi="仿宋_GB2312" w:eastAsia="仿宋_GB2312" w:cs="仿宋_GB2312"/>
          <w:sz w:val="32"/>
          <w:szCs w:val="32"/>
          <w:lang w:val="en-US" w:eastAsia="zh-CN"/>
        </w:rPr>
        <w:t>，</w:t>
      </w:r>
      <w:r>
        <w:rPr>
          <w:rFonts w:hint="eastAsia" w:ascii="仿宋_GB2312" w:hAnsi="Calibri" w:eastAsia="仿宋_GB2312" w:cs="仿宋_GB2312"/>
          <w:b w:val="0"/>
          <w:bCs w:val="0"/>
          <w:kern w:val="2"/>
          <w:sz w:val="32"/>
          <w:szCs w:val="32"/>
          <w:lang w:val="en-US" w:eastAsia="zh-CN" w:bidi="ar"/>
        </w:rPr>
        <w:t>整合红十字志愿服务资源，注册红十字志愿服务队，持续提升志愿服务基地硬件建设，加强志愿者培训工作，</w:t>
      </w:r>
      <w:r>
        <w:rPr>
          <w:rFonts w:hint="eastAsia" w:ascii="仿宋_GB2312" w:hAnsi="仿宋_GB2312" w:eastAsia="仿宋_GB2312" w:cs="仿宋_GB2312"/>
          <w:sz w:val="32"/>
          <w:szCs w:val="32"/>
          <w:lang w:val="en-US" w:eastAsia="zh-CN"/>
        </w:rPr>
        <w:t>参加志愿服务人数不少于200人次，开展志愿服务活动不少于14次。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全面提升应急救护能力，加强红十字会应急救护培训工作，不断推进救护培训“六进”工作，努力扩大培训覆盖面，完成应急救护知识普及培训2000人次以上。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红十字</w:t>
      </w:r>
      <w:r>
        <w:rPr>
          <w:rFonts w:hint="eastAsia" w:ascii="仿宋_GB2312" w:hAnsi="仿宋_GB2312" w:eastAsia="仿宋_GB2312" w:cs="仿宋_GB2312"/>
          <w:sz w:val="32"/>
          <w:szCs w:val="32"/>
          <w:lang w:eastAsia="zh-CN"/>
        </w:rPr>
        <w:t>工作，建立学校红十字青少年工作示范基地，深入开展生命教育、红十字青少年活动，建立博爱校医室</w:t>
      </w:r>
      <w:r>
        <w:rPr>
          <w:rFonts w:hint="eastAsia" w:ascii="仿宋_GB2312" w:hAnsi="仿宋_GB2312" w:eastAsia="仿宋_GB2312" w:cs="仿宋_GB2312"/>
          <w:sz w:val="32"/>
          <w:szCs w:val="32"/>
          <w:lang w:val="en-US" w:eastAsia="zh-CN"/>
        </w:rPr>
        <w:t>1个、心理活动室2个，充分发挥红十字育人作用。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开展“红筷行动”公益助学项目，积极向社会募集资金为</w:t>
      </w:r>
      <w:r>
        <w:rPr>
          <w:rFonts w:hint="eastAsia" w:ascii="仿宋_GB2312" w:hAnsi="仿宋_GB2312" w:eastAsia="仿宋_GB2312" w:cs="仿宋_GB2312"/>
          <w:sz w:val="32"/>
          <w:szCs w:val="32"/>
          <w:lang w:val="en-US" w:eastAsia="zh-CN"/>
        </w:rPr>
        <w:t>不少于7所试点</w:t>
      </w:r>
      <w:r>
        <w:rPr>
          <w:rFonts w:hint="eastAsia" w:ascii="仿宋_GB2312" w:hAnsi="仿宋_GB2312" w:eastAsia="仿宋_GB2312" w:cs="仿宋_GB2312"/>
          <w:sz w:val="32"/>
          <w:szCs w:val="32"/>
        </w:rPr>
        <w:t>中小学</w:t>
      </w:r>
      <w:r>
        <w:rPr>
          <w:rFonts w:hint="eastAsia" w:ascii="仿宋_GB2312" w:hAnsi="仿宋_GB2312" w:eastAsia="仿宋_GB2312" w:cs="仿宋_GB2312"/>
          <w:sz w:val="32"/>
          <w:szCs w:val="32"/>
          <w:lang w:val="en-US" w:eastAsia="zh-CN"/>
        </w:rPr>
        <w:t>孤儿、残疾、低保等困难学生</w:t>
      </w:r>
      <w:r>
        <w:rPr>
          <w:rFonts w:hint="eastAsia" w:ascii="仿宋_GB2312" w:hAnsi="仿宋_GB2312" w:eastAsia="仿宋_GB2312" w:cs="仿宋_GB2312"/>
          <w:sz w:val="32"/>
          <w:szCs w:val="32"/>
        </w:rPr>
        <w:t>在校期间提供免费餐食</w:t>
      </w:r>
      <w:r>
        <w:rPr>
          <w:rFonts w:hint="eastAsia" w:ascii="仿宋_GB2312" w:hAnsi="仿宋_GB2312" w:eastAsia="仿宋_GB2312" w:cs="仿宋_GB2312"/>
          <w:sz w:val="32"/>
          <w:szCs w:val="32"/>
          <w:lang w:eastAsia="zh-CN"/>
        </w:rPr>
        <w:t>。</w:t>
      </w:r>
    </w:p>
    <w:p>
      <w:pPr>
        <w:keepNext w:val="0"/>
        <w:keepLines w:val="0"/>
        <w:widowControl w:val="0"/>
        <w:suppressLineNumbers w:val="0"/>
        <w:autoSpaceDE w:val="0"/>
        <w:autoSpaceDN/>
        <w:spacing w:before="0" w:beforeAutospacing="0" w:after="0" w:afterAutospacing="0" w:line="579" w:lineRule="exact"/>
        <w:ind w:left="0" w:right="0" w:firstLine="640"/>
        <w:jc w:val="both"/>
        <w:rPr>
          <w:rFonts w:hint="eastAsia" w:ascii="Calibri" w:hAnsi="Calibri" w:eastAsia="宋体" w:cs="Times New Roman"/>
          <w:kern w:val="2"/>
          <w:sz w:val="21"/>
          <w:szCs w:val="21"/>
        </w:rPr>
      </w:pPr>
      <w:r>
        <w:rPr>
          <w:rFonts w:hint="eastAsia" w:ascii="仿宋_GB2312" w:hAnsi="仿宋_GB2312" w:eastAsia="仿宋_GB2312" w:cs="仿宋_GB2312"/>
          <w:sz w:val="32"/>
          <w:szCs w:val="32"/>
          <w:lang w:eastAsia="zh-CN"/>
        </w:rPr>
        <w:t>持续推动“三献”宣传力度，</w:t>
      </w:r>
      <w:r>
        <w:rPr>
          <w:rFonts w:hint="eastAsia" w:ascii="仿宋_GB2312" w:hAnsi="仿宋_GB2312" w:eastAsia="仿宋_GB2312" w:cs="仿宋_GB2312"/>
          <w:sz w:val="32"/>
          <w:szCs w:val="32"/>
        </w:rPr>
        <w:t>通过精心策划系列宣传活动，增强市民遗体器官捐赠的科学理念和参与意识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畅通遗体器官捐献、咨询渠道。</w:t>
      </w:r>
      <w:r>
        <w:rPr>
          <w:rFonts w:hint="eastAsia" w:ascii="仿宋_GB2312" w:hAnsi="Calibri" w:eastAsia="仿宋_GB2312" w:cs="仿宋_GB2312"/>
          <w:kern w:val="2"/>
          <w:sz w:val="32"/>
          <w:szCs w:val="32"/>
          <w:lang w:val="en-US" w:eastAsia="zh-CN" w:bidi="ar"/>
        </w:rPr>
        <w:t>组织遗体器官捐献者缅怀纪念活动，弘扬生命传递理念。组织开展“世界献血日”“世界骨髓捐献者日”活动。</w:t>
      </w:r>
    </w:p>
    <w:p>
      <w:pPr>
        <w:keepNext w:val="0"/>
        <w:keepLines w:val="0"/>
        <w:widowControl w:val="0"/>
        <w:suppressLineNumbers w:val="0"/>
        <w:autoSpaceDE w:val="0"/>
        <w:autoSpaceDN/>
        <w:spacing w:before="0" w:beforeAutospacing="0" w:after="0" w:afterAutospacing="0" w:line="579" w:lineRule="exact"/>
        <w:ind w:left="0" w:right="0" w:firstLine="640" w:firstLineChars="200"/>
        <w:jc w:val="both"/>
        <w:rPr>
          <w:rFonts w:hint="eastAsia" w:ascii="仿宋_GB2312" w:eastAsia="仿宋_GB2312" w:cs="仿宋_GB2312"/>
          <w:b w:val="0"/>
          <w:bCs w:val="0"/>
          <w:kern w:val="2"/>
          <w:sz w:val="32"/>
          <w:szCs w:val="32"/>
        </w:rPr>
      </w:pPr>
      <w:r>
        <w:rPr>
          <w:rFonts w:hint="eastAsia" w:ascii="仿宋_GB2312" w:hAnsi="仿宋_GB2312" w:eastAsia="仿宋_GB2312" w:cs="仿宋_GB2312"/>
          <w:kern w:val="2"/>
          <w:sz w:val="32"/>
          <w:szCs w:val="32"/>
          <w:lang w:val="en-US" w:eastAsia="zh-CN" w:bidi="ar"/>
        </w:rPr>
        <w:t>全面提升人道救助能力。</w:t>
      </w:r>
      <w:r>
        <w:rPr>
          <w:rFonts w:hint="eastAsia" w:ascii="仿宋_GB2312" w:hAnsi="Calibri" w:eastAsia="仿宋_GB2312" w:cs="仿宋_GB2312"/>
          <w:kern w:val="2"/>
          <w:sz w:val="32"/>
          <w:szCs w:val="32"/>
          <w:lang w:val="en-US" w:eastAsia="zh-CN" w:bidi="ar"/>
        </w:rPr>
        <w:t>以最易受损群体为对象，大力开展捐资助学、大病救助、健康促进、博爱助困，</w:t>
      </w:r>
      <w:r>
        <w:rPr>
          <w:rFonts w:hint="eastAsia" w:ascii="仿宋_GB2312" w:hAnsi="Calibri" w:eastAsia="仿宋_GB2312" w:cs="仿宋_GB2312"/>
          <w:b w:val="0"/>
          <w:bCs w:val="0"/>
          <w:kern w:val="2"/>
          <w:sz w:val="32"/>
          <w:szCs w:val="32"/>
          <w:lang w:val="en-US" w:eastAsia="zh-CN" w:bidi="ar"/>
        </w:rPr>
        <w:t>做优做强人道救助项目,更好满足人民群众多元化人道救助需求，用心用情做好“红筷行动”“博爱送万家”“重大疾病救助”等人道公益项目，不断扩大困难群体人道救助受益面。</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部门自评工作开展情况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1.评价目的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绩效评价的目的是通过考评2024年度区红十字会部门预算资金支出绩效，提升财政资金管理水平，提高财政资金使用效益和效率。一是全面了解区红十字会2024年度部门预算资金的使用，为2025年部门预算资金安排提供决策依据；二是有利于预算单位总结经验、发现问题、加强管理，保证部门预算资金使用和管理的规范性、安全性和有效性。</w:t>
      </w:r>
    </w:p>
    <w:p>
      <w:pPr>
        <w:pStyle w:val="2"/>
        <w:widowControl/>
        <w:spacing w:before="0" w:beforeAutospacing="0" w:after="0" w:afterAutospacing="0" w:line="560" w:lineRule="exact"/>
        <w:ind w:left="0" w:firstLine="640" w:firstLineChars="200"/>
        <w:rPr>
          <w:rFonts w:hint="default"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2</w:t>
      </w:r>
      <w:r>
        <w:rPr>
          <w:rFonts w:hint="default" w:ascii="仿宋_GB2312" w:hAnsi="仿宋_GB2312" w:eastAsia="仿宋_GB2312" w:cs="仿宋_GB2312"/>
          <w:b w:val="0"/>
          <w:bCs w:val="0"/>
          <w:kern w:val="0"/>
          <w:sz w:val="32"/>
          <w:szCs w:val="32"/>
          <w:lang w:val="en-US" w:eastAsia="zh-CN" w:bidi="ar-SA"/>
        </w:rPr>
        <w:t>.评价方法</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b w:val="0"/>
          <w:bCs w:val="0"/>
          <w:kern w:val="0"/>
          <w:sz w:val="32"/>
          <w:szCs w:val="32"/>
          <w:lang w:val="en-US" w:eastAsia="zh-CN" w:bidi="ar-SA"/>
        </w:rPr>
      </w:pPr>
      <w:r>
        <w:rPr>
          <w:rFonts w:hint="default" w:ascii="仿宋_GB2312" w:hAnsi="仿宋_GB2312" w:eastAsia="仿宋_GB2312" w:cs="仿宋_GB2312"/>
          <w:b w:val="0"/>
          <w:bCs w:val="0"/>
          <w:kern w:val="0"/>
          <w:sz w:val="32"/>
          <w:szCs w:val="32"/>
          <w:lang w:val="en-US" w:eastAsia="zh-CN" w:bidi="ar-SA"/>
        </w:rPr>
        <w:t>绩效评价主要采用成本效益分析法、比较法、因素分析法、最低成本法、公众评判法等。</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b w:val="0"/>
          <w:bCs w:val="0"/>
          <w:kern w:val="0"/>
          <w:sz w:val="32"/>
          <w:szCs w:val="32"/>
          <w:lang w:val="en-US" w:eastAsia="zh-CN" w:bidi="ar-SA"/>
        </w:rPr>
      </w:pPr>
      <w:r>
        <w:rPr>
          <w:rFonts w:hint="default" w:ascii="仿宋_GB2312" w:hAnsi="仿宋_GB2312" w:eastAsia="仿宋_GB2312" w:cs="仿宋_GB2312"/>
          <w:b w:val="0"/>
          <w:bCs w:val="0"/>
          <w:kern w:val="0"/>
          <w:sz w:val="32"/>
          <w:szCs w:val="32"/>
          <w:lang w:val="en-US" w:eastAsia="zh-CN" w:bidi="ar-SA"/>
        </w:rPr>
        <w:t>（1）成本效益分析法。是指将一定时期内的支出与效益进行对比分析，以评价绩效目标实现程度。</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b w:val="0"/>
          <w:bCs w:val="0"/>
          <w:kern w:val="0"/>
          <w:sz w:val="32"/>
          <w:szCs w:val="32"/>
          <w:lang w:val="en-US" w:eastAsia="zh-CN" w:bidi="ar-SA"/>
        </w:rPr>
      </w:pPr>
      <w:r>
        <w:rPr>
          <w:rFonts w:hint="default" w:ascii="仿宋_GB2312" w:hAnsi="仿宋_GB2312" w:eastAsia="仿宋_GB2312" w:cs="仿宋_GB2312"/>
          <w:b w:val="0"/>
          <w:bCs w:val="0"/>
          <w:kern w:val="0"/>
          <w:sz w:val="32"/>
          <w:szCs w:val="32"/>
          <w:lang w:val="en-US" w:eastAsia="zh-CN" w:bidi="ar-SA"/>
        </w:rPr>
        <w:t>（2）比较法。是指通过对绩效目标与实施效果、历史与当期情况、不同部门和地区同类支出的比较，综合分析绩效目标实现程度。</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b w:val="0"/>
          <w:bCs w:val="0"/>
          <w:kern w:val="0"/>
          <w:sz w:val="32"/>
          <w:szCs w:val="32"/>
          <w:lang w:val="en-US" w:eastAsia="zh-CN" w:bidi="ar-SA"/>
        </w:rPr>
      </w:pPr>
      <w:r>
        <w:rPr>
          <w:rFonts w:hint="default" w:ascii="仿宋_GB2312" w:hAnsi="仿宋_GB2312" w:eastAsia="仿宋_GB2312" w:cs="仿宋_GB2312"/>
          <w:b w:val="0"/>
          <w:bCs w:val="0"/>
          <w:kern w:val="0"/>
          <w:sz w:val="32"/>
          <w:szCs w:val="32"/>
          <w:lang w:val="en-US" w:eastAsia="zh-CN" w:bidi="ar-SA"/>
        </w:rPr>
        <w:t>（3）因素分析法。是指通过综合分析影响绩效目标实现、实施效果的内外因素，评价绩效目标实现程度。</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b w:val="0"/>
          <w:bCs w:val="0"/>
          <w:kern w:val="0"/>
          <w:sz w:val="32"/>
          <w:szCs w:val="32"/>
          <w:lang w:val="en-US" w:eastAsia="zh-CN" w:bidi="ar-SA"/>
        </w:rPr>
      </w:pPr>
      <w:r>
        <w:rPr>
          <w:rFonts w:hint="default" w:ascii="仿宋_GB2312" w:hAnsi="仿宋_GB2312" w:eastAsia="仿宋_GB2312" w:cs="仿宋_GB2312"/>
          <w:b w:val="0"/>
          <w:bCs w:val="0"/>
          <w:kern w:val="0"/>
          <w:sz w:val="32"/>
          <w:szCs w:val="32"/>
          <w:lang w:val="en-US" w:eastAsia="zh-CN" w:bidi="ar-SA"/>
        </w:rPr>
        <w:t>（4）最低成本法。是指对效益确定却不易计量的多个同类对象的实施成本进行比较，评价绩效目标实现程度。</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b w:val="0"/>
          <w:bCs w:val="0"/>
          <w:kern w:val="0"/>
          <w:sz w:val="32"/>
          <w:szCs w:val="32"/>
          <w:lang w:val="en-US" w:eastAsia="zh-CN" w:bidi="ar-SA"/>
        </w:rPr>
      </w:pPr>
      <w:r>
        <w:rPr>
          <w:rFonts w:hint="default" w:ascii="仿宋_GB2312" w:hAnsi="仿宋_GB2312" w:eastAsia="仿宋_GB2312" w:cs="仿宋_GB2312"/>
          <w:b w:val="0"/>
          <w:bCs w:val="0"/>
          <w:kern w:val="0"/>
          <w:sz w:val="32"/>
          <w:szCs w:val="32"/>
          <w:lang w:val="en-US" w:eastAsia="zh-CN" w:bidi="ar-SA"/>
        </w:rPr>
        <w:t>（5）公众评判法。是指通过专家评估、公众问卷及抽样调查等对财政支出效果进行评判，评价绩效目标实现程度。</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b w:val="0"/>
          <w:bCs w:val="0"/>
          <w:kern w:val="0"/>
          <w:sz w:val="32"/>
          <w:szCs w:val="32"/>
          <w:lang w:val="en-US" w:eastAsia="zh-CN" w:bidi="ar-SA"/>
        </w:rPr>
      </w:pPr>
      <w:r>
        <w:rPr>
          <w:rFonts w:hint="default" w:ascii="仿宋_GB2312" w:hAnsi="仿宋_GB2312" w:eastAsia="仿宋_GB2312" w:cs="仿宋_GB2312"/>
          <w:b w:val="0"/>
          <w:bCs w:val="0"/>
          <w:kern w:val="0"/>
          <w:sz w:val="32"/>
          <w:szCs w:val="32"/>
          <w:lang w:val="en-US" w:eastAsia="zh-CN" w:bidi="ar-SA"/>
        </w:rPr>
        <w:t>（6）其他评价方法（如目标评价法、综合指数法、逻辑框架法等）。</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b w:val="0"/>
          <w:bCs w:val="0"/>
          <w:kern w:val="0"/>
          <w:sz w:val="32"/>
          <w:szCs w:val="32"/>
          <w:lang w:val="en-US" w:eastAsia="zh-CN" w:bidi="ar-SA"/>
        </w:rPr>
      </w:pPr>
      <w:r>
        <w:rPr>
          <w:rFonts w:hint="default" w:ascii="仿宋_GB2312" w:hAnsi="仿宋_GB2312" w:eastAsia="仿宋_GB2312" w:cs="仿宋_GB2312"/>
          <w:b w:val="0"/>
          <w:bCs w:val="0"/>
          <w:kern w:val="0"/>
          <w:sz w:val="32"/>
          <w:szCs w:val="32"/>
          <w:lang w:val="en-US" w:eastAsia="zh-CN" w:bidi="ar-SA"/>
        </w:rPr>
        <w:t>绩效评价方法的选用应当坚持简便有效的原则。实际中需要根据情况有选择、有重点地加以运用，或偏用一种，或几种兼而有之。根据评价对象的具体情况，本次绩效评价方法采用多种方法相结合的综合绩效评价方法。</w:t>
      </w:r>
    </w:p>
    <w:p>
      <w:pPr>
        <w:pStyle w:val="2"/>
        <w:widowControl/>
        <w:spacing w:before="0" w:beforeAutospacing="0" w:after="0" w:afterAutospacing="0" w:line="560" w:lineRule="exact"/>
        <w:ind w:left="0" w:firstLine="640" w:firstLineChars="200"/>
        <w:rPr>
          <w:rFonts w:hint="default"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3</w:t>
      </w:r>
      <w:r>
        <w:rPr>
          <w:rFonts w:hint="default" w:ascii="仿宋_GB2312" w:hAnsi="仿宋_GB2312" w:eastAsia="仿宋_GB2312" w:cs="仿宋_GB2312"/>
          <w:b w:val="0"/>
          <w:bCs w:val="0"/>
          <w:kern w:val="0"/>
          <w:sz w:val="32"/>
          <w:szCs w:val="32"/>
          <w:lang w:val="en-US" w:eastAsia="zh-CN" w:bidi="ar-SA"/>
        </w:rPr>
        <w:t>.评价过程</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一是</w:t>
      </w:r>
      <w:r>
        <w:rPr>
          <w:rFonts w:hint="default" w:ascii="仿宋_GB2312" w:hAnsi="仿宋_GB2312" w:eastAsia="仿宋_GB2312" w:cs="仿宋_GB2312"/>
          <w:b w:val="0"/>
          <w:bCs w:val="0"/>
          <w:kern w:val="0"/>
          <w:sz w:val="32"/>
          <w:szCs w:val="32"/>
          <w:lang w:val="en-US" w:eastAsia="zh-CN" w:bidi="ar-SA"/>
        </w:rPr>
        <w:t>成立评价工作组。评价工作由</w:t>
      </w:r>
      <w:r>
        <w:rPr>
          <w:rFonts w:hint="eastAsia" w:ascii="仿宋_GB2312" w:hAnsi="仿宋_GB2312" w:eastAsia="仿宋_GB2312" w:cs="仿宋_GB2312"/>
          <w:b w:val="0"/>
          <w:bCs w:val="0"/>
          <w:kern w:val="0"/>
          <w:sz w:val="32"/>
          <w:szCs w:val="32"/>
          <w:lang w:val="en-US" w:eastAsia="zh-CN" w:bidi="ar-SA"/>
        </w:rPr>
        <w:t>区红十字会分管财务</w:t>
      </w:r>
      <w:r>
        <w:rPr>
          <w:rFonts w:hint="default" w:ascii="仿宋_GB2312" w:hAnsi="仿宋_GB2312" w:eastAsia="仿宋_GB2312" w:cs="仿宋_GB2312"/>
          <w:b w:val="0"/>
          <w:bCs w:val="0"/>
          <w:kern w:val="0"/>
          <w:sz w:val="32"/>
          <w:szCs w:val="32"/>
          <w:lang w:val="en-US" w:eastAsia="zh-CN" w:bidi="ar-SA"/>
        </w:rPr>
        <w:t>领导、</w:t>
      </w:r>
      <w:r>
        <w:rPr>
          <w:rFonts w:hint="eastAsia" w:ascii="仿宋_GB2312" w:hAnsi="仿宋_GB2312" w:eastAsia="仿宋_GB2312" w:cs="仿宋_GB2312"/>
          <w:b w:val="0"/>
          <w:bCs w:val="0"/>
          <w:kern w:val="0"/>
          <w:sz w:val="32"/>
          <w:szCs w:val="32"/>
          <w:lang w:val="en-US" w:eastAsia="zh-CN" w:bidi="ar-SA"/>
        </w:rPr>
        <w:t>和从事财务工作人员</w:t>
      </w:r>
      <w:r>
        <w:rPr>
          <w:rFonts w:hint="default" w:ascii="仿宋_GB2312" w:hAnsi="仿宋_GB2312" w:eastAsia="仿宋_GB2312" w:cs="仿宋_GB2312"/>
          <w:b w:val="0"/>
          <w:bCs w:val="0"/>
          <w:kern w:val="0"/>
          <w:sz w:val="32"/>
          <w:szCs w:val="32"/>
          <w:lang w:val="en-US" w:eastAsia="zh-CN" w:bidi="ar-SA"/>
        </w:rPr>
        <w:t>配合下共同完成。</w:t>
      </w:r>
      <w:r>
        <w:rPr>
          <w:rFonts w:hint="eastAsia" w:ascii="仿宋_GB2312" w:hAnsi="仿宋_GB2312" w:eastAsia="仿宋_GB2312" w:cs="仿宋_GB2312"/>
          <w:b w:val="0"/>
          <w:bCs w:val="0"/>
          <w:kern w:val="0"/>
          <w:sz w:val="32"/>
          <w:szCs w:val="32"/>
          <w:lang w:val="en-US" w:eastAsia="zh-CN" w:bidi="ar-SA"/>
        </w:rPr>
        <w:t>二是</w:t>
      </w:r>
      <w:r>
        <w:rPr>
          <w:rFonts w:hint="default" w:ascii="仿宋_GB2312" w:hAnsi="仿宋_GB2312" w:eastAsia="仿宋_GB2312" w:cs="仿宋_GB2312"/>
          <w:b w:val="0"/>
          <w:bCs w:val="0"/>
          <w:kern w:val="0"/>
          <w:sz w:val="32"/>
          <w:szCs w:val="32"/>
          <w:lang w:val="en-US" w:eastAsia="zh-CN" w:bidi="ar-SA"/>
        </w:rPr>
        <w:t>制定评价工作方案和评价工作计划。</w:t>
      </w:r>
      <w:r>
        <w:rPr>
          <w:rFonts w:hint="eastAsia" w:ascii="仿宋_GB2312" w:hAnsi="仿宋_GB2312" w:eastAsia="仿宋_GB2312" w:cs="仿宋_GB2312"/>
          <w:b w:val="0"/>
          <w:bCs w:val="0"/>
          <w:kern w:val="0"/>
          <w:sz w:val="32"/>
          <w:szCs w:val="32"/>
          <w:lang w:val="en-US" w:eastAsia="zh-CN" w:bidi="ar-SA"/>
        </w:rPr>
        <w:t>三是资料</w:t>
      </w:r>
      <w:r>
        <w:rPr>
          <w:rFonts w:hint="default" w:ascii="仿宋_GB2312" w:hAnsi="仿宋_GB2312" w:eastAsia="仿宋_GB2312" w:cs="仿宋_GB2312"/>
          <w:b w:val="0"/>
          <w:bCs w:val="0"/>
          <w:kern w:val="0"/>
          <w:sz w:val="32"/>
          <w:szCs w:val="32"/>
          <w:lang w:val="en-US" w:eastAsia="zh-CN" w:bidi="ar-SA"/>
        </w:rPr>
        <w:t>审核。主要对项目实施申报材料的真实性、合理性、相关性、完整性等方面</w:t>
      </w:r>
      <w:r>
        <w:rPr>
          <w:rFonts w:hint="eastAsia" w:ascii="仿宋_GB2312" w:hAnsi="仿宋_GB2312" w:eastAsia="仿宋_GB2312" w:cs="仿宋_GB2312"/>
          <w:b w:val="0"/>
          <w:bCs w:val="0"/>
          <w:kern w:val="0"/>
          <w:sz w:val="32"/>
          <w:szCs w:val="32"/>
          <w:lang w:val="en-US" w:eastAsia="zh-CN" w:bidi="ar-SA"/>
        </w:rPr>
        <w:t>再次审核</w:t>
      </w:r>
      <w:r>
        <w:rPr>
          <w:rFonts w:hint="default" w:ascii="仿宋_GB2312" w:hAnsi="仿宋_GB2312" w:eastAsia="仿宋_GB2312" w:cs="仿宋_GB2312"/>
          <w:b w:val="0"/>
          <w:bCs w:val="0"/>
          <w:kern w:val="0"/>
          <w:sz w:val="32"/>
          <w:szCs w:val="32"/>
          <w:lang w:val="en-US" w:eastAsia="zh-CN" w:bidi="ar-SA"/>
        </w:rPr>
        <w:t>。</w:t>
      </w:r>
      <w:r>
        <w:rPr>
          <w:rFonts w:hint="eastAsia" w:ascii="仿宋_GB2312" w:hAnsi="仿宋_GB2312" w:eastAsia="仿宋_GB2312" w:cs="仿宋_GB2312"/>
          <w:b w:val="0"/>
          <w:bCs w:val="0"/>
          <w:kern w:val="0"/>
          <w:sz w:val="32"/>
          <w:szCs w:val="32"/>
          <w:lang w:val="en-US" w:eastAsia="zh-CN" w:bidi="ar-SA"/>
        </w:rPr>
        <w:t>四是</w:t>
      </w:r>
      <w:r>
        <w:rPr>
          <w:rFonts w:hint="default" w:ascii="仿宋_GB2312" w:hAnsi="仿宋_GB2312" w:eastAsia="仿宋_GB2312" w:cs="仿宋_GB2312"/>
          <w:b w:val="0"/>
          <w:bCs w:val="0"/>
          <w:kern w:val="0"/>
          <w:sz w:val="32"/>
          <w:szCs w:val="32"/>
          <w:lang w:val="en-US" w:eastAsia="zh-CN" w:bidi="ar-SA"/>
        </w:rPr>
        <w:t>数据分析。通过数据的整理分析，制作评价基础数据表。通过这一阶段的工作，针对审核中存在的问题以及评价需要的关键信息，制定出现场核查工作内容和方案。</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绩效目标完成情况分析</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预算执行情况分析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区红十字</w:t>
      </w:r>
      <w:r>
        <w:rPr>
          <w:rFonts w:hint="eastAsia" w:ascii="仿宋_GB2312" w:hAnsi="仿宋_GB2312" w:eastAsia="仿宋_GB2312" w:cs="仿宋_GB2312"/>
          <w:sz w:val="32"/>
          <w:szCs w:val="32"/>
          <w:lang w:val="en-US" w:eastAsia="zh-CN"/>
        </w:rPr>
        <w:t>部门整体</w:t>
      </w:r>
      <w:r>
        <w:rPr>
          <w:rFonts w:hint="eastAsia" w:ascii="仿宋_GB2312" w:hAnsi="仿宋_GB2312" w:eastAsia="仿宋_GB2312" w:cs="仿宋_GB2312"/>
          <w:sz w:val="32"/>
          <w:szCs w:val="32"/>
          <w:highlight w:val="none"/>
          <w:lang w:val="en-US" w:eastAsia="zh-CN"/>
        </w:rPr>
        <w:t>年初预算为202.98万元，</w:t>
      </w:r>
      <w:r>
        <w:rPr>
          <w:rFonts w:hint="eastAsia" w:ascii="仿宋_GB2312" w:hAnsi="仿宋_GB2312" w:eastAsia="仿宋_GB2312" w:cs="仿宋_GB2312"/>
          <w:sz w:val="32"/>
          <w:szCs w:val="32"/>
          <w:lang w:val="en-US" w:eastAsia="zh-CN"/>
        </w:rPr>
        <w:t>部门决算实际使用金额为188.44</w:t>
      </w:r>
      <w:r>
        <w:rPr>
          <w:rFonts w:hint="eastAsia"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lang w:val="en-US" w:eastAsia="zh-CN"/>
        </w:rPr>
        <w:t>，其中：基本支出</w:t>
      </w:r>
      <w:r>
        <w:rPr>
          <w:rFonts w:hint="eastAsia" w:ascii="仿宋_GB2312" w:hAnsi="仿宋_GB2312" w:eastAsia="仿宋_GB2312" w:cs="仿宋_GB2312"/>
          <w:sz w:val="32"/>
          <w:szCs w:val="32"/>
          <w:highlight w:val="none"/>
          <w:lang w:val="en-US" w:eastAsia="zh-CN"/>
        </w:rPr>
        <w:t>179.96</w:t>
      </w:r>
      <w:r>
        <w:rPr>
          <w:rFonts w:hint="eastAsia" w:ascii="仿宋_GB2312" w:hAnsi="仿宋_GB2312" w:eastAsia="仿宋_GB2312" w:cs="仿宋_GB2312"/>
          <w:sz w:val="32"/>
          <w:szCs w:val="32"/>
          <w:lang w:val="en-US" w:eastAsia="zh-CN"/>
        </w:rPr>
        <w:t>万元，项目支出</w:t>
      </w:r>
      <w:r>
        <w:rPr>
          <w:rFonts w:hint="eastAsia" w:ascii="仿宋_GB2312" w:hAnsi="仿宋_GB2312" w:eastAsia="仿宋_GB2312" w:cs="仿宋_GB2312"/>
          <w:sz w:val="32"/>
          <w:szCs w:val="32"/>
          <w:highlight w:val="none"/>
          <w:lang w:val="en-US" w:eastAsia="zh-CN"/>
        </w:rPr>
        <w:t>8.48</w:t>
      </w:r>
      <w:r>
        <w:rPr>
          <w:rFonts w:hint="eastAsia" w:ascii="仿宋_GB2312" w:hAnsi="仿宋_GB2312" w:eastAsia="仿宋_GB2312" w:cs="仿宋_GB2312"/>
          <w:sz w:val="32"/>
          <w:szCs w:val="32"/>
          <w:lang w:val="en-US" w:eastAsia="zh-CN"/>
        </w:rPr>
        <w:t>万元。预算执行率=预算数/执行数=</w:t>
      </w:r>
      <w:r>
        <w:rPr>
          <w:rFonts w:hint="eastAsia" w:ascii="仿宋_GB2312" w:hAnsi="仿宋_GB2312" w:eastAsia="仿宋_GB2312" w:cs="仿宋_GB2312"/>
          <w:sz w:val="32"/>
          <w:szCs w:val="32"/>
          <w:highlight w:val="none"/>
          <w:lang w:val="en-US" w:eastAsia="zh-CN"/>
        </w:rPr>
        <w:t>188.44/202.98=92.84%。</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仿宋_GB2312" w:hAnsi="仿宋_GB2312" w:eastAsia="仿宋_GB2312" w:cs="仿宋_GB2312"/>
          <w:sz w:val="32"/>
          <w:szCs w:val="32"/>
          <w:lang w:val="en-US" w:eastAsia="zh-CN"/>
        </w:rPr>
        <w:t>预算执行率偏离原因：区红十字会2024年受财政资金减少影响，专项资金锐减，经费预算执行情况不理想。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2.绩效目标完成情况分析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产出指标完成情况分析</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400" w:leftChars="0" w:firstLine="321" w:firstLineChars="100"/>
        <w:jc w:val="both"/>
        <w:textAlignment w:val="auto"/>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数量指标完成情况分析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救护员培训人数：2024年区红十字会开展应急救护(初级)培训33期，取得红十字(初级)救护员证 1849人，完成目标值1500人。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普及救护培训人数：2024年区红十字会开展普及救护培训25期，9770人次，完成目标值7500人次。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组织志愿服务活动次数：2024年区红十字会开展常态化红十字志愿服务活动24期，参加志愿服务活动志愿者224人次。完成目标值12次。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新增志愿者人数：2024年区红十字会持续推进组织建设，新增红十字会员1219人，注册红十字志愿者1314人。完成目标值300人。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信息数量：2024年度区红十字会在官方网站上“信息公开”“工作动态”“公示栏”三个模块，共发布信息40余篇，完成目标值＞10篇。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红十字宣传：区红十字会积极组织红十字志愿服务者开展各种志愿服务活动，发布了30余篇宣传报道，完成目标值12篇。</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400" w:leftChars="0" w:firstLine="321" w:firstLineChars="100"/>
        <w:jc w:val="both"/>
        <w:textAlignment w:val="auto"/>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质量指标完成情况分析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参加救护培训人员合格率：参加救护培训人员共计</w:t>
      </w:r>
      <w:r>
        <w:rPr>
          <w:rFonts w:hint="eastAsia" w:ascii="仿宋_GB2312" w:hAnsi="仿宋_GB2312" w:eastAsia="仿宋_GB2312" w:cs="仿宋_GB2312"/>
          <w:sz w:val="32"/>
          <w:szCs w:val="32"/>
          <w:highlight w:val="none"/>
          <w:lang w:val="en-US" w:eastAsia="zh-CN"/>
        </w:rPr>
        <w:t>1849人，取</w:t>
      </w:r>
      <w:r>
        <w:rPr>
          <w:rFonts w:hint="eastAsia" w:ascii="仿宋_GB2312" w:hAnsi="仿宋_GB2312" w:eastAsia="仿宋_GB2312" w:cs="仿宋_GB2312"/>
          <w:sz w:val="32"/>
          <w:szCs w:val="32"/>
          <w:lang w:val="en-US" w:eastAsia="zh-CN"/>
        </w:rPr>
        <w:t>得取得红十字(初级)救护员证1849人，合格率100%。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志愿服务活动圆满成功：2024年红十字会组织“走进福利院情暖中秋节”“为行动不便居家老人上门志愿服务活动”等多次志愿服务，每次志愿服务均圆满结束。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机关正常运行率：2024年区机关工作正常开展，无停水、停电、办公设备无法使用等情况，机关正常运行100%，工作按时完成100%。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宣传方式多样性：2024年区红十字会精心策划宣传活动。宣传形式有开展健康义诊、免费测量血压等志愿服务活动，有举办捐献者集中宣传活动，也有在武汉电视台新闻频道进行了专题采访报道，宣传方式丰富多样。</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时效指标完成情况分析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培训完成时间：2024年区红十字应急救护培训于2024</w:t>
      </w:r>
      <w:r>
        <w:rPr>
          <w:rFonts w:hint="eastAsia" w:ascii="仿宋_GB2312" w:hAnsi="仿宋_GB2312" w:eastAsia="仿宋_GB2312" w:cs="仿宋_GB2312"/>
          <w:sz w:val="32"/>
          <w:szCs w:val="32"/>
          <w:highlight w:val="none"/>
          <w:lang w:val="en-US" w:eastAsia="zh-CN"/>
        </w:rPr>
        <w:t>年4月开始，2024年10月完成结束培</w:t>
      </w:r>
      <w:r>
        <w:rPr>
          <w:rFonts w:hint="eastAsia" w:ascii="仿宋_GB2312" w:hAnsi="仿宋_GB2312" w:eastAsia="仿宋_GB2312" w:cs="仿宋_GB2312"/>
          <w:sz w:val="32"/>
          <w:szCs w:val="32"/>
          <w:lang w:val="en-US" w:eastAsia="zh-CN"/>
        </w:rPr>
        <w:t>训，完成目标值12月底完成培训。</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效益指标完成情况分析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区内突出事件存积救援力量。2024年区红十字会依法推进红十字会组织体系建设，持续规范会员管理和志愿服务工作。一是理深化改革任务落实。以改革创新为动力，逐步完善体制机制。召开理事会和监事会第二次会议，依法推进红十字会组织体系建设，健全红十字会基层组织网络。全区已建立基层红十字会组织441个。二是深化基层组织建设。利用社区新时代文明实践站就在居民“家门口”的优势，打造社区博爱家园13个，把红十字工作融入到社区建设之中。三是深化联系群众机制。通过加强基层组织、工作阵地建设和开展“三救三献”及志愿服务活动，发挥了红十字会独特优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高群众自救能力和应急处置能力。2024年区红十字会以“救在身边”为主题、“生命教育”为主线，扎实做好应急救护培训和应急救援工作。推进应急救护培训提质扩面。开展应急救护（初级）培训33场，取得救护员证1849人，普及培训人数9770人次，取得应急救护培训师资13人。提高应急救援实战能力。在蔡甸江滩汉阳码头举行水上救援应急演练，围绕营救落水人员、抛绳包救援、心肺复苏等救援技术开展实操演练。提升“三献”服务成效。完成造血干细胞采集血样21人份，新增遗体捐献线上登记713人，线下登记58人，实现遗体捐献5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障红十字会工作顺利开展，更好服务于民。业务经费项目经费由财政全额拨款，项目经费保障了区红十字会办公设备完好，网络覆盖100%，办公实现信息化，保障机关后勤服务，提高办公效率，助于机关人员更好的服务于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（3）满意度指标完成情况分析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sz w:val="32"/>
          <w:szCs w:val="32"/>
          <w:lang w:val="en-US" w:eastAsia="zh-CN"/>
        </w:rPr>
        <w:t>社会居民对开展此项工作的满意度。2024年蔡甸区红十字会紧紧围绕全区发展大局，以学习教育为统领，以红十字业务为抓手、聚焦民生需求、聚力人道服务中担当作为、履职尽责，推动蔡甸红十字事业高质量发展，社会群众对蔡甸区红十字会履职能力十分认可，受益群众满意度无不满意情况。</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上年度部门整体自评结果应用情况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部门通过对项目的绩效自评工作，了解资金使用是否达到了预期目标，检验资金的支出效果。根据绩效评价结果反馈情况分析资金使用过程中存在的问题和原因，积极落实整改，改进管理措施，有效提高了财政资金的使用效益。绩效自评结果将作为编制下一年度部门预算的重要依据，加强内部控制，完善项目管理。</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其他佐证材料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无其他资料。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附件：部门整体绩效自评表</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br w:type="page"/>
      </w:r>
    </w:p>
    <w:p>
      <w:pPr>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2024</w:t>
      </w:r>
      <w:r>
        <w:rPr>
          <w:rFonts w:hint="eastAsia" w:ascii="仿宋" w:hAnsi="仿宋" w:eastAsia="仿宋" w:cs="仿宋"/>
          <w:b/>
          <w:bCs/>
          <w:sz w:val="36"/>
          <w:szCs w:val="36"/>
        </w:rPr>
        <w:t>年度武汉市蔡甸区红十字会</w:t>
      </w:r>
    </w:p>
    <w:p>
      <w:pPr>
        <w:jc w:val="center"/>
        <w:rPr>
          <w:rFonts w:hint="eastAsia" w:ascii="仿宋" w:hAnsi="仿宋" w:eastAsia="仿宋" w:cs="仿宋"/>
          <w:b/>
          <w:bCs/>
          <w:sz w:val="36"/>
          <w:szCs w:val="36"/>
        </w:rPr>
      </w:pPr>
      <w:r>
        <w:rPr>
          <w:rFonts w:hint="eastAsia" w:ascii="仿宋" w:hAnsi="仿宋" w:eastAsia="仿宋" w:cs="仿宋"/>
          <w:b/>
          <w:bCs/>
          <w:sz w:val="36"/>
          <w:szCs w:val="36"/>
        </w:rPr>
        <w:t>部门整体绩效自评表</w:t>
      </w:r>
    </w:p>
    <w:p>
      <w:pPr>
        <w:widowControl/>
        <w:jc w:val="left"/>
        <w:rPr>
          <w:rFonts w:hint="eastAsia" w:ascii="宋体" w:hAnsi="宋体" w:eastAsia="宋体" w:cs="楷体_GB2312"/>
          <w:kern w:val="0"/>
          <w:sz w:val="24"/>
          <w:szCs w:val="24"/>
        </w:rPr>
      </w:pPr>
    </w:p>
    <w:p>
      <w:pPr>
        <w:widowControl/>
        <w:jc w:val="left"/>
        <w:rPr>
          <w:rFonts w:hint="default" w:ascii="宋体" w:hAnsi="宋体" w:eastAsia="宋体" w:cs="Times New Roman"/>
          <w:kern w:val="0"/>
          <w:sz w:val="36"/>
          <w:szCs w:val="36"/>
          <w:lang w:val="en-US" w:eastAsia="zh-CN"/>
        </w:rPr>
      </w:pPr>
      <w:r>
        <w:rPr>
          <w:rFonts w:hint="eastAsia" w:ascii="宋体" w:hAnsi="宋体" w:eastAsia="宋体" w:cs="楷体_GB2312"/>
          <w:kern w:val="0"/>
          <w:sz w:val="21"/>
          <w:szCs w:val="21"/>
        </w:rPr>
        <w:t>单位名称：武汉市蔡甸区红十字会</w:t>
      </w:r>
      <w:r>
        <w:rPr>
          <w:rFonts w:hint="eastAsia" w:ascii="宋体" w:hAnsi="宋体" w:eastAsia="宋体" w:cs="楷体_GB2312"/>
          <w:kern w:val="0"/>
          <w:sz w:val="21"/>
          <w:szCs w:val="21"/>
          <w:lang w:val="en-US" w:eastAsia="zh-CN"/>
        </w:rPr>
        <w:t xml:space="preserve">                               </w:t>
      </w:r>
      <w:r>
        <w:rPr>
          <w:rFonts w:hint="eastAsia" w:ascii="宋体" w:hAnsi="宋体" w:eastAsia="宋体" w:cs="楷体_GB2312"/>
          <w:kern w:val="0"/>
          <w:sz w:val="21"/>
          <w:szCs w:val="21"/>
        </w:rPr>
        <w:t>填报日期：</w:t>
      </w:r>
      <w:r>
        <w:rPr>
          <w:rFonts w:hint="eastAsia" w:ascii="宋体" w:hAnsi="宋体" w:eastAsia="宋体" w:cs="楷体_GB2312"/>
          <w:kern w:val="0"/>
          <w:sz w:val="21"/>
          <w:szCs w:val="21"/>
          <w:lang w:val="en-US" w:eastAsia="zh-CN"/>
        </w:rPr>
        <w:t>2024.4.1</w:t>
      </w:r>
      <w:bookmarkStart w:id="0" w:name="_GoBack"/>
      <w:bookmarkEnd w:id="0"/>
      <w:r>
        <w:rPr>
          <w:rFonts w:hint="eastAsia" w:ascii="宋体" w:hAnsi="宋体" w:eastAsia="宋体" w:cs="楷体_GB2312"/>
          <w:kern w:val="0"/>
          <w:sz w:val="21"/>
          <w:szCs w:val="21"/>
          <w:lang w:val="en-US" w:eastAsia="zh-CN"/>
        </w:rPr>
        <w:t>5</w:t>
      </w:r>
    </w:p>
    <w:tbl>
      <w:tblPr>
        <w:tblStyle w:val="9"/>
        <w:tblW w:w="52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818"/>
        <w:gridCol w:w="1324"/>
        <w:gridCol w:w="1822"/>
        <w:gridCol w:w="544"/>
        <w:gridCol w:w="624"/>
        <w:gridCol w:w="1131"/>
        <w:gridCol w:w="606"/>
        <w:gridCol w:w="203"/>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93" w:type="pct"/>
            <w:gridSpan w:val="2"/>
            <w:noWrap w:val="0"/>
            <w:vAlign w:val="center"/>
          </w:tcPr>
          <w:p>
            <w:pPr>
              <w:widowControl/>
              <w:jc w:val="center"/>
              <w:rPr>
                <w:rFonts w:ascii="宋体" w:hAnsi="宋体" w:eastAsia="宋体" w:cs="Times New Roman"/>
                <w:kern w:val="0"/>
                <w:sz w:val="21"/>
              </w:rPr>
            </w:pPr>
            <w:r>
              <w:rPr>
                <w:rFonts w:hint="eastAsia" w:ascii="宋体" w:hAnsi="宋体" w:eastAsia="宋体" w:cs="仿宋_GB2312"/>
                <w:kern w:val="0"/>
                <w:sz w:val="21"/>
              </w:rPr>
              <w:t>单位名称</w:t>
            </w:r>
          </w:p>
        </w:tc>
        <w:tc>
          <w:tcPr>
            <w:tcW w:w="4206" w:type="pct"/>
            <w:gridSpan w:val="8"/>
            <w:noWrap w:val="0"/>
            <w:vAlign w:val="center"/>
          </w:tcPr>
          <w:p>
            <w:pPr>
              <w:widowControl/>
              <w:jc w:val="center"/>
              <w:rPr>
                <w:rFonts w:ascii="宋体" w:hAnsi="宋体" w:eastAsia="宋体" w:cs="Times New Roman"/>
                <w:kern w:val="0"/>
                <w:sz w:val="21"/>
              </w:rPr>
            </w:pPr>
            <w:r>
              <w:rPr>
                <w:rFonts w:hint="eastAsia" w:ascii="宋体" w:hAnsi="宋体" w:eastAsia="宋体" w:cs="Times New Roman"/>
                <w:kern w:val="0"/>
                <w:sz w:val="21"/>
              </w:rPr>
              <w:t>武汉市蔡甸区红十字会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93" w:type="pct"/>
            <w:gridSpan w:val="2"/>
            <w:noWrap w:val="0"/>
            <w:vAlign w:val="center"/>
          </w:tcPr>
          <w:p>
            <w:pPr>
              <w:widowControl/>
              <w:jc w:val="center"/>
              <w:rPr>
                <w:rFonts w:ascii="宋体" w:hAnsi="宋体" w:eastAsia="宋体" w:cs="Times New Roman"/>
                <w:kern w:val="0"/>
                <w:sz w:val="21"/>
              </w:rPr>
            </w:pPr>
            <w:r>
              <w:rPr>
                <w:rFonts w:hint="eastAsia" w:ascii="宋体" w:hAnsi="宋体" w:eastAsia="宋体" w:cs="Times New Roman"/>
                <w:kern w:val="0"/>
                <w:sz w:val="21"/>
              </w:rPr>
              <w:t>基本支出总额</w:t>
            </w:r>
            <w:r>
              <w:rPr>
                <w:rFonts w:hint="eastAsia" w:ascii="宋体" w:hAnsi="宋体" w:eastAsia="宋体" w:cs="Times New Roman"/>
                <w:kern w:val="0"/>
                <w:sz w:val="21"/>
                <w:lang w:eastAsia="zh-CN"/>
              </w:rPr>
              <w:t>（</w:t>
            </w:r>
            <w:r>
              <w:rPr>
                <w:rFonts w:hint="eastAsia" w:ascii="宋体" w:hAnsi="宋体" w:eastAsia="宋体" w:cs="宋体"/>
                <w:i w:val="0"/>
                <w:iCs w:val="0"/>
                <w:color w:val="000000"/>
                <w:kern w:val="0"/>
                <w:sz w:val="22"/>
                <w:szCs w:val="22"/>
                <w:u w:val="none"/>
                <w:lang w:val="en-US" w:eastAsia="zh-CN" w:bidi="ar"/>
              </w:rPr>
              <w:t>万元</w:t>
            </w:r>
            <w:r>
              <w:rPr>
                <w:rFonts w:hint="eastAsia" w:ascii="宋体" w:hAnsi="宋体" w:eastAsia="宋体" w:cs="Times New Roman"/>
                <w:kern w:val="0"/>
                <w:sz w:val="21"/>
                <w:lang w:eastAsia="zh-CN"/>
              </w:rPr>
              <w:t>）</w:t>
            </w:r>
          </w:p>
        </w:tc>
        <w:tc>
          <w:tcPr>
            <w:tcW w:w="1630" w:type="pct"/>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179.96</w:t>
            </w:r>
          </w:p>
        </w:tc>
        <w:tc>
          <w:tcPr>
            <w:tcW w:w="1191" w:type="pct"/>
            <w:gridSpan w:val="3"/>
            <w:noWrap w:val="0"/>
            <w:vAlign w:val="center"/>
          </w:tcPr>
          <w:p>
            <w:pPr>
              <w:widowControl/>
              <w:jc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仿宋_GB2312"/>
                <w:kern w:val="0"/>
                <w:sz w:val="21"/>
                <w:highlight w:val="none"/>
              </w:rPr>
              <w:t>项目支出总额</w:t>
            </w:r>
          </w:p>
        </w:tc>
        <w:tc>
          <w:tcPr>
            <w:tcW w:w="1385" w:type="pct"/>
            <w:gridSpan w:val="3"/>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3" w:type="pct"/>
            <w:gridSpan w:val="2"/>
            <w:vMerge w:val="restart"/>
            <w:noWrap w:val="0"/>
            <w:vAlign w:val="center"/>
          </w:tcPr>
          <w:p>
            <w:pPr>
              <w:widowControl/>
              <w:jc w:val="center"/>
              <w:rPr>
                <w:rFonts w:ascii="宋体" w:hAnsi="宋体" w:eastAsia="宋体" w:cs="Times New Roman"/>
                <w:kern w:val="0"/>
                <w:sz w:val="21"/>
              </w:rPr>
            </w:pPr>
            <w:r>
              <w:rPr>
                <w:rFonts w:hint="eastAsia" w:ascii="宋体" w:hAnsi="宋体" w:eastAsia="宋体" w:cs="仿宋_GB2312"/>
                <w:kern w:val="0"/>
                <w:sz w:val="21"/>
              </w:rPr>
              <w:t>预算执行情况（万元）</w:t>
            </w:r>
          </w:p>
        </w:tc>
        <w:tc>
          <w:tcPr>
            <w:tcW w:w="686" w:type="pct"/>
            <w:noWrap w:val="0"/>
            <w:vAlign w:val="center"/>
          </w:tcPr>
          <w:p>
            <w:pPr>
              <w:widowControl/>
              <w:jc w:val="center"/>
              <w:rPr>
                <w:rFonts w:ascii="宋体" w:hAnsi="宋体" w:eastAsia="宋体" w:cs="Times New Roman"/>
                <w:kern w:val="0"/>
                <w:sz w:val="21"/>
                <w:highlight w:val="none"/>
              </w:rPr>
            </w:pPr>
          </w:p>
        </w:tc>
        <w:tc>
          <w:tcPr>
            <w:tcW w:w="1226" w:type="pct"/>
            <w:gridSpan w:val="2"/>
            <w:noWrap w:val="0"/>
            <w:vAlign w:val="center"/>
          </w:tcPr>
          <w:p>
            <w:pPr>
              <w:widowControl/>
              <w:jc w:val="center"/>
              <w:rPr>
                <w:rFonts w:ascii="宋体" w:hAnsi="宋体" w:eastAsia="宋体" w:cs="仿宋_GB2312"/>
                <w:kern w:val="0"/>
                <w:sz w:val="21"/>
                <w:highlight w:val="none"/>
              </w:rPr>
            </w:pPr>
            <w:r>
              <w:rPr>
                <w:rFonts w:hint="eastAsia" w:ascii="宋体" w:hAnsi="宋体" w:eastAsia="宋体" w:cs="仿宋_GB2312"/>
                <w:kern w:val="0"/>
                <w:sz w:val="21"/>
                <w:highlight w:val="none"/>
              </w:rPr>
              <w:t>预算数（</w:t>
            </w:r>
            <w:r>
              <w:rPr>
                <w:rFonts w:ascii="宋体" w:hAnsi="宋体" w:eastAsia="宋体" w:cs="仿宋_GB2312"/>
                <w:kern w:val="0"/>
                <w:sz w:val="21"/>
                <w:highlight w:val="none"/>
              </w:rPr>
              <w:t>A</w:t>
            </w:r>
            <w:r>
              <w:rPr>
                <w:rFonts w:hint="eastAsia" w:ascii="宋体" w:hAnsi="宋体" w:eastAsia="宋体" w:cs="仿宋_GB2312"/>
                <w:kern w:val="0"/>
                <w:sz w:val="21"/>
                <w:highlight w:val="none"/>
              </w:rPr>
              <w:t>）</w:t>
            </w:r>
          </w:p>
        </w:tc>
        <w:tc>
          <w:tcPr>
            <w:tcW w:w="1328" w:type="pct"/>
            <w:gridSpan w:val="4"/>
            <w:noWrap w:val="0"/>
            <w:vAlign w:val="center"/>
          </w:tcPr>
          <w:p>
            <w:pPr>
              <w:widowControl/>
              <w:jc w:val="center"/>
              <w:rPr>
                <w:rFonts w:hint="eastAsia" w:ascii="宋体" w:hAnsi="宋体" w:eastAsia="宋体" w:cs="仿宋_GB2312"/>
                <w:kern w:val="0"/>
                <w:sz w:val="21"/>
                <w:highlight w:val="none"/>
                <w:lang w:val="en-US" w:eastAsia="zh-CN"/>
              </w:rPr>
            </w:pPr>
            <w:r>
              <w:rPr>
                <w:rFonts w:hint="eastAsia" w:ascii="宋体" w:hAnsi="宋体" w:eastAsia="宋体" w:cs="仿宋_GB2312"/>
                <w:kern w:val="0"/>
                <w:sz w:val="21"/>
                <w:highlight w:val="none"/>
              </w:rPr>
              <w:t>执行数（</w:t>
            </w:r>
            <w:r>
              <w:rPr>
                <w:rFonts w:ascii="宋体" w:hAnsi="宋体" w:eastAsia="宋体" w:cs="仿宋_GB2312"/>
                <w:kern w:val="0"/>
                <w:sz w:val="21"/>
                <w:highlight w:val="none"/>
              </w:rPr>
              <w:t>B</w:t>
            </w:r>
            <w:r>
              <w:rPr>
                <w:rFonts w:hint="eastAsia" w:ascii="宋体" w:hAnsi="宋体" w:eastAsia="宋体" w:cs="仿宋_GB2312"/>
                <w:kern w:val="0"/>
                <w:sz w:val="21"/>
                <w:highlight w:val="none"/>
              </w:rPr>
              <w:t>）</w:t>
            </w:r>
          </w:p>
        </w:tc>
        <w:tc>
          <w:tcPr>
            <w:tcW w:w="966" w:type="pct"/>
            <w:noWrap w:val="0"/>
            <w:vAlign w:val="center"/>
          </w:tcPr>
          <w:p>
            <w:pPr>
              <w:widowControl/>
              <w:jc w:val="center"/>
              <w:rPr>
                <w:rFonts w:hint="eastAsia" w:ascii="宋体" w:hAnsi="宋体" w:eastAsia="宋体" w:cs="仿宋_GB2312"/>
                <w:kern w:val="0"/>
                <w:sz w:val="21"/>
                <w:highlight w:val="none"/>
                <w:lang w:eastAsia="zh-CN"/>
              </w:rPr>
            </w:pPr>
            <w:r>
              <w:rPr>
                <w:rFonts w:hint="eastAsia" w:ascii="宋体" w:hAnsi="宋体" w:eastAsia="宋体" w:cs="仿宋_GB2312"/>
                <w:kern w:val="0"/>
                <w:sz w:val="21"/>
                <w:highlight w:val="none"/>
              </w:rPr>
              <w:t>执行率（</w:t>
            </w:r>
            <w:r>
              <w:rPr>
                <w:rFonts w:ascii="宋体" w:hAnsi="宋体" w:eastAsia="宋体" w:cs="仿宋_GB2312"/>
                <w:kern w:val="0"/>
                <w:sz w:val="21"/>
                <w:highlight w:val="none"/>
              </w:rPr>
              <w:t>B/A</w:t>
            </w:r>
            <w:r>
              <w:rPr>
                <w:rFonts w:hint="eastAsia" w:ascii="宋体" w:hAnsi="宋体" w:eastAsia="宋体" w:cs="仿宋_GB2312"/>
                <w:kern w:val="0"/>
                <w:sz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93" w:type="pct"/>
            <w:gridSpan w:val="2"/>
            <w:vMerge w:val="continue"/>
            <w:noWrap w:val="0"/>
            <w:vAlign w:val="center"/>
          </w:tcPr>
          <w:p>
            <w:pPr>
              <w:widowControl/>
              <w:jc w:val="center"/>
              <w:rPr>
                <w:rFonts w:ascii="宋体" w:hAnsi="宋体" w:eastAsia="宋体" w:cs="Times New Roman"/>
                <w:kern w:val="0"/>
                <w:sz w:val="21"/>
              </w:rPr>
            </w:pPr>
          </w:p>
        </w:tc>
        <w:tc>
          <w:tcPr>
            <w:tcW w:w="686" w:type="pct"/>
            <w:noWrap w:val="0"/>
            <w:vAlign w:val="center"/>
          </w:tcPr>
          <w:p>
            <w:pPr>
              <w:widowControl/>
              <w:jc w:val="center"/>
              <w:rPr>
                <w:rFonts w:ascii="宋体" w:hAnsi="宋体" w:eastAsia="宋体" w:cs="Times New Roman"/>
                <w:kern w:val="0"/>
                <w:sz w:val="21"/>
                <w:highlight w:val="none"/>
              </w:rPr>
            </w:pPr>
            <w:r>
              <w:rPr>
                <w:rFonts w:hint="eastAsia" w:ascii="宋体" w:hAnsi="宋体" w:eastAsia="宋体" w:cs="仿宋_GB2312"/>
                <w:kern w:val="0"/>
                <w:sz w:val="21"/>
                <w:highlight w:val="none"/>
              </w:rPr>
              <w:t>部门整体支出总额</w:t>
            </w:r>
          </w:p>
        </w:tc>
        <w:tc>
          <w:tcPr>
            <w:tcW w:w="1226" w:type="pct"/>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202.98</w:t>
            </w:r>
          </w:p>
        </w:tc>
        <w:tc>
          <w:tcPr>
            <w:tcW w:w="1328" w:type="pct"/>
            <w:gridSpan w:val="4"/>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188.44</w:t>
            </w:r>
          </w:p>
        </w:tc>
        <w:tc>
          <w:tcPr>
            <w:tcW w:w="966" w:type="pct"/>
            <w:noWrap w:val="0"/>
            <w:vAlign w:val="center"/>
          </w:tcPr>
          <w:p>
            <w:pPr>
              <w:widowControl/>
              <w:jc w:val="center"/>
              <w:rPr>
                <w:rFonts w:hint="default"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92.84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10"/>
            <w:noWrap w:val="0"/>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hint="default" w:ascii="宋体" w:hAnsi="宋体" w:eastAsia="宋体" w:cs="Times New Roman"/>
                <w:kern w:val="0"/>
                <w:sz w:val="21"/>
                <w:lang w:val="en-US"/>
              </w:rPr>
            </w:pPr>
            <w:r>
              <w:rPr>
                <w:rFonts w:hint="eastAsia" w:ascii="宋体" w:hAnsi="宋体" w:eastAsia="宋体" w:cs="Times New Roman"/>
                <w:kern w:val="0"/>
                <w:sz w:val="21"/>
                <w:lang w:val="en-US" w:eastAsia="zh-CN"/>
              </w:rPr>
              <w:t>年度目标1：完成红十字业务工作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restart"/>
            <w:noWrap w:val="0"/>
            <w:vAlign w:val="center"/>
          </w:tcPr>
          <w:p>
            <w:pPr>
              <w:widowControl/>
              <w:jc w:val="center"/>
              <w:rPr>
                <w:rFonts w:ascii="宋体" w:hAnsi="宋体" w:eastAsia="宋体" w:cs="Times New Roman"/>
                <w:kern w:val="0"/>
                <w:sz w:val="21"/>
              </w:rPr>
            </w:pPr>
            <w:r>
              <w:rPr>
                <w:rFonts w:hint="eastAsia" w:ascii="宋体" w:hAnsi="宋体" w:eastAsia="宋体" w:cs="仿宋_GB2312"/>
                <w:kern w:val="0"/>
                <w:sz w:val="21"/>
              </w:rPr>
              <w:t>年度绩效目标完成情况</w:t>
            </w:r>
          </w:p>
        </w:tc>
        <w:tc>
          <w:tcPr>
            <w:tcW w:w="424" w:type="pct"/>
            <w:noWrap w:val="0"/>
            <w:vAlign w:val="center"/>
          </w:tcPr>
          <w:p>
            <w:pPr>
              <w:jc w:val="center"/>
              <w:rPr>
                <w:rFonts w:ascii="宋体" w:hAnsi="宋体" w:eastAsia="宋体" w:cs="Times New Roman"/>
                <w:kern w:val="0"/>
                <w:sz w:val="21"/>
              </w:rPr>
            </w:pPr>
            <w:r>
              <w:rPr>
                <w:rFonts w:hint="eastAsia" w:ascii="宋体" w:hAnsi="宋体" w:eastAsia="宋体" w:cs="仿宋_GB2312"/>
                <w:kern w:val="0"/>
                <w:sz w:val="21"/>
              </w:rPr>
              <w:t>一级指标</w:t>
            </w:r>
          </w:p>
        </w:tc>
        <w:tc>
          <w:tcPr>
            <w:tcW w:w="686" w:type="pct"/>
            <w:noWrap w:val="0"/>
            <w:vAlign w:val="center"/>
          </w:tcPr>
          <w:p>
            <w:pPr>
              <w:widowControl/>
              <w:jc w:val="center"/>
              <w:rPr>
                <w:rFonts w:ascii="宋体" w:hAnsi="宋体" w:eastAsia="宋体" w:cs="Times New Roman"/>
                <w:kern w:val="0"/>
                <w:sz w:val="21"/>
              </w:rPr>
            </w:pPr>
            <w:r>
              <w:rPr>
                <w:rFonts w:hint="eastAsia" w:ascii="宋体" w:hAnsi="宋体" w:eastAsia="宋体" w:cs="仿宋_GB2312"/>
                <w:kern w:val="0"/>
                <w:sz w:val="21"/>
              </w:rPr>
              <w:t>二级指标</w:t>
            </w:r>
          </w:p>
        </w:tc>
        <w:tc>
          <w:tcPr>
            <w:tcW w:w="1549" w:type="pct"/>
            <w:gridSpan w:val="3"/>
            <w:noWrap w:val="0"/>
            <w:vAlign w:val="center"/>
          </w:tcPr>
          <w:p>
            <w:pPr>
              <w:widowControl/>
              <w:jc w:val="center"/>
              <w:rPr>
                <w:rFonts w:ascii="宋体" w:hAnsi="宋体" w:eastAsia="宋体" w:cs="Times New Roman"/>
                <w:kern w:val="0"/>
                <w:sz w:val="21"/>
              </w:rPr>
            </w:pPr>
            <w:r>
              <w:rPr>
                <w:rFonts w:hint="eastAsia" w:ascii="宋体" w:hAnsi="宋体" w:eastAsia="宋体" w:cs="仿宋_GB2312"/>
                <w:kern w:val="0"/>
                <w:sz w:val="21"/>
              </w:rPr>
              <w:t>三级指标</w:t>
            </w:r>
          </w:p>
        </w:tc>
        <w:tc>
          <w:tcPr>
            <w:tcW w:w="900" w:type="pct"/>
            <w:gridSpan w:val="2"/>
            <w:noWrap w:val="0"/>
            <w:vAlign w:val="center"/>
          </w:tcPr>
          <w:p>
            <w:pPr>
              <w:widowControl/>
              <w:jc w:val="center"/>
              <w:rPr>
                <w:rFonts w:ascii="宋体" w:hAnsi="宋体" w:eastAsia="宋体" w:cs="仿宋_GB2312"/>
                <w:kern w:val="0"/>
                <w:sz w:val="21"/>
              </w:rPr>
            </w:pPr>
            <w:r>
              <w:rPr>
                <w:rFonts w:hint="eastAsia" w:ascii="宋体" w:hAnsi="宋体" w:eastAsia="宋体" w:cs="仿宋_GB2312"/>
                <w:kern w:val="0"/>
                <w:sz w:val="21"/>
              </w:rPr>
              <w:t>年初目标值</w:t>
            </w:r>
          </w:p>
        </w:tc>
        <w:tc>
          <w:tcPr>
            <w:tcW w:w="1071" w:type="pct"/>
            <w:gridSpan w:val="2"/>
            <w:noWrap w:val="0"/>
            <w:vAlign w:val="center"/>
          </w:tcPr>
          <w:p>
            <w:pPr>
              <w:widowControl/>
              <w:jc w:val="center"/>
              <w:rPr>
                <w:rFonts w:ascii="宋体" w:hAnsi="宋体" w:eastAsia="宋体" w:cs="Times New Roman"/>
                <w:kern w:val="0"/>
                <w:sz w:val="21"/>
              </w:rPr>
            </w:pPr>
            <w:r>
              <w:rPr>
                <w:rFonts w:hint="eastAsia" w:ascii="宋体" w:hAnsi="宋体" w:eastAsia="宋体" w:cs="仿宋_GB2312"/>
                <w:kern w:val="0"/>
                <w:sz w:val="21"/>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jc w:val="center"/>
              <w:rPr>
                <w:rFonts w:ascii="宋体" w:hAnsi="宋体" w:eastAsia="宋体" w:cs="Times New Roman"/>
                <w:kern w:val="0"/>
                <w:sz w:val="21"/>
              </w:rPr>
            </w:pPr>
          </w:p>
        </w:tc>
        <w:tc>
          <w:tcPr>
            <w:tcW w:w="424" w:type="pct"/>
            <w:vMerge w:val="restart"/>
            <w:noWrap w:val="0"/>
            <w:vAlign w:val="center"/>
          </w:tcPr>
          <w:p>
            <w:pPr>
              <w:jc w:val="center"/>
              <w:rPr>
                <w:rFonts w:hint="eastAsia" w:ascii="宋体" w:hAnsi="宋体" w:eastAsia="宋体" w:cs="仿宋_GB2312"/>
                <w:kern w:val="0"/>
                <w:sz w:val="21"/>
              </w:rPr>
            </w:pPr>
            <w:r>
              <w:rPr>
                <w:rFonts w:hint="eastAsia" w:ascii="宋体" w:hAnsi="宋体" w:eastAsia="宋体" w:cs="仿宋_GB2312"/>
                <w:kern w:val="0"/>
                <w:sz w:val="21"/>
              </w:rPr>
              <w:t>产出指标</w:t>
            </w:r>
          </w:p>
        </w:tc>
        <w:tc>
          <w:tcPr>
            <w:tcW w:w="686" w:type="pct"/>
            <w:vMerge w:val="restart"/>
            <w:noWrap w:val="0"/>
            <w:vAlign w:val="center"/>
          </w:tcPr>
          <w:p>
            <w:pPr>
              <w:widowControl/>
              <w:jc w:val="center"/>
              <w:rPr>
                <w:rFonts w:hint="eastAsia" w:ascii="宋体" w:hAnsi="宋体" w:eastAsia="宋体" w:cs="仿宋_GB2312"/>
                <w:kern w:val="0"/>
                <w:sz w:val="21"/>
                <w:szCs w:val="24"/>
                <w:lang w:val="en-US" w:eastAsia="zh-CN" w:bidi="ar-SA"/>
              </w:rPr>
            </w:pPr>
            <w:r>
              <w:rPr>
                <w:rFonts w:hint="eastAsia" w:ascii="宋体" w:hAnsi="宋体" w:eastAsia="宋体" w:cs="Times New Roman"/>
                <w:kern w:val="0"/>
                <w:sz w:val="21"/>
                <w:lang w:val="en-US" w:eastAsia="zh-CN"/>
              </w:rPr>
              <w:t>数量指标</w:t>
            </w:r>
          </w:p>
          <w:p>
            <w:pPr>
              <w:widowControl/>
              <w:jc w:val="center"/>
              <w:rPr>
                <w:rFonts w:hint="eastAsia" w:ascii="宋体" w:hAnsi="宋体" w:eastAsia="宋体" w:cs="Times New Roman"/>
                <w:kern w:val="0"/>
                <w:sz w:val="21"/>
                <w:lang w:val="en-US" w:eastAsia="zh-CN"/>
              </w:rPr>
            </w:pPr>
          </w:p>
        </w:tc>
        <w:tc>
          <w:tcPr>
            <w:tcW w:w="1549" w:type="pct"/>
            <w:gridSpan w:val="3"/>
            <w:noWrap w:val="0"/>
            <w:vAlign w:val="center"/>
          </w:tcPr>
          <w:p>
            <w:pPr>
              <w:widowControl/>
              <w:jc w:val="center"/>
              <w:rPr>
                <w:rFonts w:hint="default" w:ascii="宋体" w:hAnsi="宋体" w:eastAsia="宋体" w:cs="仿宋_GB2312"/>
                <w:kern w:val="0"/>
                <w:sz w:val="21"/>
                <w:szCs w:val="24"/>
                <w:lang w:val="en-US" w:eastAsia="zh-CN" w:bidi="ar-SA"/>
              </w:rPr>
            </w:pPr>
            <w:r>
              <w:rPr>
                <w:rFonts w:hint="eastAsia" w:ascii="宋体" w:hAnsi="宋体" w:eastAsia="宋体" w:cs="仿宋_GB2312"/>
                <w:kern w:val="0"/>
                <w:sz w:val="21"/>
                <w:lang w:val="en-US" w:eastAsia="zh-CN"/>
              </w:rPr>
              <w:t>救护员培训人数</w:t>
            </w:r>
          </w:p>
        </w:tc>
        <w:tc>
          <w:tcPr>
            <w:tcW w:w="900" w:type="pct"/>
            <w:gridSpan w:val="2"/>
            <w:noWrap w:val="0"/>
            <w:vAlign w:val="center"/>
          </w:tcPr>
          <w:p>
            <w:pPr>
              <w:widowControl/>
              <w:jc w:val="center"/>
              <w:rPr>
                <w:rFonts w:hint="default" w:ascii="宋体" w:hAnsi="宋体" w:eastAsia="宋体" w:cs="仿宋_GB2312"/>
                <w:kern w:val="0"/>
                <w:sz w:val="21"/>
                <w:szCs w:val="24"/>
                <w:lang w:val="en-US" w:eastAsia="zh-CN" w:bidi="ar-SA"/>
              </w:rPr>
            </w:pPr>
            <w:r>
              <w:rPr>
                <w:rFonts w:hint="eastAsia" w:ascii="宋体" w:hAnsi="宋体" w:eastAsia="宋体" w:cs="仿宋_GB2312"/>
                <w:kern w:val="0"/>
                <w:sz w:val="21"/>
                <w:lang w:val="en-US" w:eastAsia="zh-CN"/>
              </w:rPr>
              <w:t>1500人</w:t>
            </w:r>
          </w:p>
        </w:tc>
        <w:tc>
          <w:tcPr>
            <w:tcW w:w="1071" w:type="pct"/>
            <w:gridSpan w:val="2"/>
            <w:noWrap w:val="0"/>
            <w:vAlign w:val="center"/>
          </w:tcPr>
          <w:p>
            <w:pPr>
              <w:widowControl/>
              <w:jc w:val="center"/>
              <w:rPr>
                <w:rFonts w:hint="eastAsia" w:ascii="宋体" w:hAnsi="宋体" w:eastAsia="宋体" w:cs="仿宋_GB2312"/>
                <w:kern w:val="0"/>
                <w:sz w:val="21"/>
                <w:szCs w:val="24"/>
                <w:lang w:val="en-US" w:eastAsia="zh-CN" w:bidi="ar-SA"/>
              </w:rPr>
            </w:pPr>
            <w:r>
              <w:rPr>
                <w:rFonts w:hint="eastAsia" w:ascii="宋体" w:hAnsi="宋体" w:eastAsia="宋体" w:cs="仿宋_GB2312"/>
                <w:kern w:val="0"/>
                <w:sz w:val="21"/>
                <w:szCs w:val="24"/>
                <w:lang w:val="en-US" w:eastAsia="zh-CN" w:bidi="ar-SA"/>
              </w:rPr>
              <w:t>1849人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jc w:val="center"/>
              <w:rPr>
                <w:rFonts w:ascii="宋体" w:hAnsi="宋体" w:eastAsia="宋体" w:cs="Times New Roman"/>
                <w:kern w:val="0"/>
                <w:sz w:val="21"/>
              </w:rPr>
            </w:pPr>
          </w:p>
        </w:tc>
        <w:tc>
          <w:tcPr>
            <w:tcW w:w="424" w:type="pct"/>
            <w:vMerge w:val="continue"/>
            <w:noWrap w:val="0"/>
            <w:vAlign w:val="center"/>
          </w:tcPr>
          <w:p>
            <w:pPr>
              <w:jc w:val="center"/>
              <w:rPr>
                <w:rFonts w:hint="eastAsia" w:ascii="宋体" w:hAnsi="宋体" w:eastAsia="宋体" w:cs="仿宋_GB2312"/>
                <w:kern w:val="0"/>
                <w:sz w:val="21"/>
              </w:rPr>
            </w:pPr>
          </w:p>
        </w:tc>
        <w:tc>
          <w:tcPr>
            <w:tcW w:w="686" w:type="pct"/>
            <w:vMerge w:val="continue"/>
            <w:noWrap w:val="0"/>
            <w:vAlign w:val="center"/>
          </w:tcPr>
          <w:p>
            <w:pPr>
              <w:widowControl/>
              <w:jc w:val="center"/>
              <w:rPr>
                <w:rFonts w:hint="eastAsia" w:ascii="宋体" w:hAnsi="宋体" w:eastAsia="宋体" w:cs="Times New Roman"/>
                <w:kern w:val="0"/>
                <w:sz w:val="21"/>
                <w:lang w:val="en-US" w:eastAsia="zh-CN"/>
              </w:rPr>
            </w:pPr>
          </w:p>
        </w:tc>
        <w:tc>
          <w:tcPr>
            <w:tcW w:w="1549" w:type="pct"/>
            <w:gridSpan w:val="3"/>
            <w:noWrap w:val="0"/>
            <w:vAlign w:val="center"/>
          </w:tcPr>
          <w:p>
            <w:pPr>
              <w:widowControl/>
              <w:jc w:val="center"/>
              <w:rPr>
                <w:rFonts w:hint="default" w:ascii="宋体" w:hAnsi="宋体" w:eastAsia="宋体" w:cs="仿宋_GB2312"/>
                <w:kern w:val="0"/>
                <w:sz w:val="21"/>
                <w:szCs w:val="24"/>
                <w:highlight w:val="none"/>
                <w:lang w:val="en-US" w:eastAsia="zh-CN" w:bidi="ar-SA"/>
              </w:rPr>
            </w:pPr>
            <w:r>
              <w:rPr>
                <w:rFonts w:hint="eastAsia" w:ascii="宋体" w:hAnsi="宋体" w:eastAsia="宋体" w:cs="仿宋_GB2312"/>
                <w:kern w:val="0"/>
                <w:sz w:val="21"/>
                <w:highlight w:val="none"/>
                <w:lang w:val="en-US" w:eastAsia="zh-CN"/>
              </w:rPr>
              <w:t>普及救护培训人次数</w:t>
            </w:r>
          </w:p>
        </w:tc>
        <w:tc>
          <w:tcPr>
            <w:tcW w:w="900" w:type="pct"/>
            <w:gridSpan w:val="2"/>
            <w:noWrap w:val="0"/>
            <w:vAlign w:val="center"/>
          </w:tcPr>
          <w:p>
            <w:pPr>
              <w:widowControl/>
              <w:jc w:val="center"/>
              <w:rPr>
                <w:rFonts w:hint="default" w:ascii="宋体" w:hAnsi="宋体" w:eastAsia="宋体" w:cs="Times New Roman"/>
                <w:kern w:val="0"/>
                <w:sz w:val="21"/>
                <w:szCs w:val="24"/>
                <w:highlight w:val="none"/>
                <w:lang w:val="en-US" w:eastAsia="zh-CN" w:bidi="ar-SA"/>
              </w:rPr>
            </w:pPr>
            <w:r>
              <w:rPr>
                <w:rFonts w:hint="eastAsia" w:ascii="宋体" w:hAnsi="宋体" w:eastAsia="宋体" w:cs="Times New Roman"/>
                <w:kern w:val="0"/>
                <w:sz w:val="21"/>
                <w:highlight w:val="none"/>
                <w:lang w:val="en-US" w:eastAsia="zh-CN"/>
              </w:rPr>
              <w:t>2500人次</w:t>
            </w:r>
          </w:p>
        </w:tc>
        <w:tc>
          <w:tcPr>
            <w:tcW w:w="1071" w:type="pct"/>
            <w:gridSpan w:val="2"/>
            <w:noWrap w:val="0"/>
            <w:vAlign w:val="center"/>
          </w:tcPr>
          <w:p>
            <w:pPr>
              <w:widowControl/>
              <w:jc w:val="center"/>
              <w:rPr>
                <w:rFonts w:hint="default" w:ascii="宋体" w:hAnsi="宋体" w:eastAsia="宋体" w:cs="Times New Roman"/>
                <w:kern w:val="0"/>
                <w:sz w:val="21"/>
                <w:szCs w:val="24"/>
                <w:highlight w:val="none"/>
                <w:lang w:val="en-US" w:eastAsia="zh-CN" w:bidi="ar-SA"/>
              </w:rPr>
            </w:pPr>
            <w:r>
              <w:rPr>
                <w:rFonts w:hint="eastAsia" w:ascii="宋体" w:hAnsi="宋体" w:eastAsia="宋体" w:cs="Times New Roman"/>
                <w:kern w:val="0"/>
                <w:sz w:val="21"/>
                <w:szCs w:val="24"/>
                <w:highlight w:val="none"/>
                <w:lang w:val="en-US" w:eastAsia="zh-CN" w:bidi="ar-SA"/>
              </w:rPr>
              <w:t>9770</w:t>
            </w:r>
            <w:r>
              <w:rPr>
                <w:rFonts w:hint="default" w:ascii="宋体" w:hAnsi="宋体" w:eastAsia="宋体" w:cs="Times New Roman"/>
                <w:kern w:val="0"/>
                <w:sz w:val="21"/>
                <w:szCs w:val="24"/>
                <w:highlight w:val="none"/>
                <w:lang w:val="en-US" w:eastAsia="zh-CN" w:bidi="ar-S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jc w:val="center"/>
              <w:rPr>
                <w:rFonts w:ascii="宋体" w:hAnsi="宋体" w:eastAsia="宋体" w:cs="Times New Roman"/>
                <w:kern w:val="0"/>
                <w:sz w:val="21"/>
              </w:rPr>
            </w:pPr>
          </w:p>
        </w:tc>
        <w:tc>
          <w:tcPr>
            <w:tcW w:w="424" w:type="pct"/>
            <w:vMerge w:val="continue"/>
            <w:noWrap w:val="0"/>
            <w:vAlign w:val="center"/>
          </w:tcPr>
          <w:p>
            <w:pPr>
              <w:jc w:val="center"/>
              <w:rPr>
                <w:rFonts w:hint="eastAsia" w:ascii="宋体" w:hAnsi="宋体" w:eastAsia="宋体" w:cs="仿宋_GB2312"/>
                <w:kern w:val="0"/>
                <w:sz w:val="21"/>
              </w:rPr>
            </w:pPr>
          </w:p>
        </w:tc>
        <w:tc>
          <w:tcPr>
            <w:tcW w:w="686" w:type="pct"/>
            <w:vMerge w:val="continue"/>
            <w:noWrap w:val="0"/>
            <w:vAlign w:val="center"/>
          </w:tcPr>
          <w:p>
            <w:pPr>
              <w:widowControl/>
              <w:jc w:val="center"/>
              <w:rPr>
                <w:rFonts w:hint="eastAsia" w:ascii="宋体" w:hAnsi="宋体" w:eastAsia="宋体" w:cs="Times New Roman"/>
                <w:kern w:val="0"/>
                <w:sz w:val="21"/>
                <w:lang w:val="en-US" w:eastAsia="zh-CN"/>
              </w:rPr>
            </w:pPr>
          </w:p>
        </w:tc>
        <w:tc>
          <w:tcPr>
            <w:tcW w:w="1549" w:type="pct"/>
            <w:gridSpan w:val="3"/>
            <w:noWrap w:val="0"/>
            <w:vAlign w:val="center"/>
          </w:tcPr>
          <w:p>
            <w:pPr>
              <w:widowControl/>
              <w:jc w:val="center"/>
              <w:rPr>
                <w:rFonts w:hint="default" w:ascii="宋体" w:hAnsi="宋体" w:eastAsia="宋体" w:cs="仿宋_GB2312"/>
                <w:kern w:val="0"/>
                <w:sz w:val="21"/>
                <w:szCs w:val="24"/>
                <w:highlight w:val="none"/>
                <w:lang w:val="en-US" w:eastAsia="zh-CN" w:bidi="ar-SA"/>
              </w:rPr>
            </w:pPr>
            <w:r>
              <w:rPr>
                <w:rFonts w:hint="eastAsia" w:ascii="宋体" w:hAnsi="宋体" w:eastAsia="宋体" w:cs="仿宋_GB2312"/>
                <w:kern w:val="0"/>
                <w:sz w:val="21"/>
                <w:szCs w:val="24"/>
                <w:highlight w:val="none"/>
                <w:lang w:val="en-US" w:eastAsia="zh-CN" w:bidi="ar-SA"/>
              </w:rPr>
              <w:t>组织志愿服务活动次数</w:t>
            </w:r>
          </w:p>
        </w:tc>
        <w:tc>
          <w:tcPr>
            <w:tcW w:w="900" w:type="pct"/>
            <w:gridSpan w:val="2"/>
            <w:noWrap w:val="0"/>
            <w:vAlign w:val="center"/>
          </w:tcPr>
          <w:p>
            <w:pPr>
              <w:widowControl/>
              <w:jc w:val="center"/>
              <w:rPr>
                <w:rFonts w:hint="default" w:ascii="宋体" w:hAnsi="宋体" w:eastAsia="宋体" w:cs="Times New Roman"/>
                <w:kern w:val="0"/>
                <w:sz w:val="21"/>
                <w:szCs w:val="24"/>
                <w:highlight w:val="none"/>
                <w:lang w:val="en-US" w:eastAsia="zh-CN" w:bidi="ar-SA"/>
              </w:rPr>
            </w:pPr>
            <w:r>
              <w:rPr>
                <w:rFonts w:hint="eastAsia" w:ascii="宋体" w:hAnsi="宋体" w:eastAsia="宋体" w:cs="Times New Roman"/>
                <w:kern w:val="0"/>
                <w:sz w:val="21"/>
                <w:highlight w:val="none"/>
                <w:lang w:val="en-US" w:eastAsia="zh-CN"/>
              </w:rPr>
              <w:t>12期</w:t>
            </w:r>
          </w:p>
        </w:tc>
        <w:tc>
          <w:tcPr>
            <w:tcW w:w="1071" w:type="pct"/>
            <w:gridSpan w:val="2"/>
            <w:noWrap w:val="0"/>
            <w:vAlign w:val="center"/>
          </w:tcPr>
          <w:p>
            <w:pPr>
              <w:widowControl/>
              <w:jc w:val="center"/>
              <w:rPr>
                <w:rFonts w:hint="default" w:ascii="宋体" w:hAnsi="宋体" w:eastAsia="宋体" w:cs="Times New Roman"/>
                <w:kern w:val="0"/>
                <w:sz w:val="21"/>
                <w:szCs w:val="24"/>
                <w:highlight w:val="none"/>
                <w:lang w:val="en-US" w:eastAsia="zh-CN" w:bidi="ar-SA"/>
              </w:rPr>
            </w:pPr>
            <w:r>
              <w:rPr>
                <w:rFonts w:hint="eastAsia" w:ascii="宋体" w:hAnsi="宋体" w:eastAsia="宋体" w:cs="Times New Roman"/>
                <w:kern w:val="0"/>
                <w:sz w:val="21"/>
                <w:szCs w:val="24"/>
                <w:highlight w:val="none"/>
                <w:lang w:val="en-US" w:eastAsia="zh-CN" w:bidi="ar-SA"/>
              </w:rPr>
              <w:t>24期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jc w:val="center"/>
              <w:rPr>
                <w:rFonts w:ascii="宋体" w:hAnsi="宋体" w:eastAsia="宋体" w:cs="Times New Roman"/>
                <w:kern w:val="0"/>
                <w:sz w:val="21"/>
              </w:rPr>
            </w:pPr>
          </w:p>
        </w:tc>
        <w:tc>
          <w:tcPr>
            <w:tcW w:w="424" w:type="pct"/>
            <w:vMerge w:val="continue"/>
            <w:noWrap w:val="0"/>
            <w:vAlign w:val="center"/>
          </w:tcPr>
          <w:p>
            <w:pPr>
              <w:jc w:val="center"/>
              <w:rPr>
                <w:rFonts w:hint="eastAsia" w:ascii="宋体" w:hAnsi="宋体" w:eastAsia="宋体" w:cs="仿宋_GB2312"/>
                <w:kern w:val="0"/>
                <w:sz w:val="21"/>
              </w:rPr>
            </w:pPr>
          </w:p>
        </w:tc>
        <w:tc>
          <w:tcPr>
            <w:tcW w:w="686" w:type="pct"/>
            <w:vMerge w:val="continue"/>
            <w:noWrap w:val="0"/>
            <w:vAlign w:val="center"/>
          </w:tcPr>
          <w:p>
            <w:pPr>
              <w:widowControl/>
              <w:jc w:val="center"/>
              <w:rPr>
                <w:rFonts w:hint="eastAsia" w:ascii="宋体" w:hAnsi="宋体" w:eastAsia="宋体" w:cs="Times New Roman"/>
                <w:kern w:val="0"/>
                <w:sz w:val="21"/>
                <w:lang w:val="en-US" w:eastAsia="zh-CN"/>
              </w:rPr>
            </w:pPr>
          </w:p>
        </w:tc>
        <w:tc>
          <w:tcPr>
            <w:tcW w:w="1549" w:type="pct"/>
            <w:gridSpan w:val="3"/>
            <w:noWrap w:val="0"/>
            <w:vAlign w:val="center"/>
          </w:tcPr>
          <w:p>
            <w:pPr>
              <w:widowControl/>
              <w:jc w:val="center"/>
              <w:rPr>
                <w:rFonts w:hint="default" w:ascii="宋体" w:hAnsi="宋体" w:eastAsia="宋体" w:cs="仿宋_GB2312"/>
                <w:kern w:val="0"/>
                <w:sz w:val="21"/>
                <w:highlight w:val="none"/>
                <w:lang w:val="en-US" w:eastAsia="zh-CN"/>
              </w:rPr>
            </w:pPr>
            <w:r>
              <w:rPr>
                <w:rFonts w:hint="eastAsia" w:ascii="宋体" w:hAnsi="宋体" w:eastAsia="宋体" w:cs="仿宋_GB2312"/>
                <w:kern w:val="0"/>
                <w:sz w:val="21"/>
                <w:highlight w:val="none"/>
                <w:lang w:val="en-US" w:eastAsia="zh-CN"/>
              </w:rPr>
              <w:t>新增志愿者人数</w:t>
            </w:r>
          </w:p>
        </w:tc>
        <w:tc>
          <w:tcPr>
            <w:tcW w:w="900" w:type="pct"/>
            <w:gridSpan w:val="2"/>
            <w:noWrap w:val="0"/>
            <w:vAlign w:val="center"/>
          </w:tcPr>
          <w:p>
            <w:pPr>
              <w:widowControl/>
              <w:jc w:val="center"/>
              <w:rPr>
                <w:rFonts w:hint="default"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100</w:t>
            </w:r>
          </w:p>
        </w:tc>
        <w:tc>
          <w:tcPr>
            <w:tcW w:w="1071" w:type="pct"/>
            <w:gridSpan w:val="2"/>
            <w:noWrap w:val="0"/>
            <w:vAlign w:val="center"/>
          </w:tcPr>
          <w:p>
            <w:pPr>
              <w:widowControl/>
              <w:jc w:val="center"/>
              <w:rPr>
                <w:rFonts w:hint="eastAsia"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1314名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jc w:val="center"/>
              <w:rPr>
                <w:rFonts w:ascii="宋体" w:hAnsi="宋体" w:eastAsia="宋体" w:cs="Times New Roman"/>
                <w:kern w:val="0"/>
                <w:sz w:val="21"/>
              </w:rPr>
            </w:pPr>
          </w:p>
        </w:tc>
        <w:tc>
          <w:tcPr>
            <w:tcW w:w="424" w:type="pct"/>
            <w:vMerge w:val="continue"/>
            <w:noWrap w:val="0"/>
            <w:vAlign w:val="center"/>
          </w:tcPr>
          <w:p>
            <w:pPr>
              <w:jc w:val="center"/>
              <w:rPr>
                <w:rFonts w:hint="eastAsia" w:ascii="宋体" w:hAnsi="宋体" w:eastAsia="宋体" w:cs="仿宋_GB2312"/>
                <w:kern w:val="0"/>
                <w:sz w:val="21"/>
              </w:rPr>
            </w:pPr>
          </w:p>
        </w:tc>
        <w:tc>
          <w:tcPr>
            <w:tcW w:w="686" w:type="pct"/>
            <w:vMerge w:val="restart"/>
            <w:noWrap w:val="0"/>
            <w:vAlign w:val="center"/>
          </w:tcPr>
          <w:p>
            <w:pPr>
              <w:widowControl/>
              <w:jc w:val="center"/>
              <w:rPr>
                <w:rFonts w:hint="default" w:ascii="宋体" w:hAnsi="宋体" w:eastAsia="宋体" w:cs="Times New Roman"/>
                <w:kern w:val="0"/>
                <w:sz w:val="21"/>
                <w:lang w:val="en-US" w:eastAsia="zh-CN"/>
              </w:rPr>
            </w:pPr>
            <w:r>
              <w:rPr>
                <w:rFonts w:hint="eastAsia" w:ascii="宋体" w:hAnsi="宋体" w:eastAsia="宋体" w:cs="Times New Roman"/>
                <w:kern w:val="0"/>
                <w:sz w:val="21"/>
                <w:lang w:val="en-US" w:eastAsia="zh-CN"/>
              </w:rPr>
              <w:t>质量指标</w:t>
            </w:r>
          </w:p>
        </w:tc>
        <w:tc>
          <w:tcPr>
            <w:tcW w:w="1549" w:type="pct"/>
            <w:gridSpan w:val="3"/>
            <w:noWrap w:val="0"/>
            <w:vAlign w:val="center"/>
          </w:tcPr>
          <w:p>
            <w:pPr>
              <w:widowControl/>
              <w:jc w:val="center"/>
              <w:rPr>
                <w:rFonts w:hint="default" w:ascii="宋体" w:hAnsi="宋体" w:eastAsia="宋体" w:cs="仿宋_GB2312"/>
                <w:kern w:val="0"/>
                <w:sz w:val="21"/>
                <w:highlight w:val="none"/>
                <w:lang w:val="en-US" w:eastAsia="zh-CN"/>
              </w:rPr>
            </w:pPr>
            <w:r>
              <w:rPr>
                <w:rFonts w:hint="eastAsia" w:ascii="宋体" w:hAnsi="宋体" w:eastAsia="宋体" w:cs="仿宋_GB2312"/>
                <w:kern w:val="0"/>
                <w:sz w:val="21"/>
                <w:highlight w:val="none"/>
                <w:lang w:val="en-US" w:eastAsia="zh-CN"/>
              </w:rPr>
              <w:t>参加救护培训人员合格率</w:t>
            </w:r>
          </w:p>
        </w:tc>
        <w:tc>
          <w:tcPr>
            <w:tcW w:w="900" w:type="pct"/>
            <w:gridSpan w:val="2"/>
            <w:noWrap w:val="0"/>
            <w:vAlign w:val="center"/>
          </w:tcPr>
          <w:p>
            <w:pPr>
              <w:widowControl/>
              <w:jc w:val="center"/>
              <w:rPr>
                <w:rFonts w:hint="default"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＞90%</w:t>
            </w:r>
          </w:p>
        </w:tc>
        <w:tc>
          <w:tcPr>
            <w:tcW w:w="1071" w:type="pct"/>
            <w:gridSpan w:val="2"/>
            <w:noWrap w:val="0"/>
            <w:vAlign w:val="center"/>
          </w:tcPr>
          <w:p>
            <w:pPr>
              <w:widowControl/>
              <w:jc w:val="center"/>
              <w:rPr>
                <w:rFonts w:hint="default"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jc w:val="center"/>
              <w:rPr>
                <w:rFonts w:ascii="宋体" w:hAnsi="宋体" w:eastAsia="宋体" w:cs="Times New Roman"/>
                <w:kern w:val="0"/>
                <w:sz w:val="21"/>
              </w:rPr>
            </w:pPr>
          </w:p>
        </w:tc>
        <w:tc>
          <w:tcPr>
            <w:tcW w:w="424" w:type="pct"/>
            <w:vMerge w:val="continue"/>
            <w:noWrap w:val="0"/>
            <w:vAlign w:val="center"/>
          </w:tcPr>
          <w:p>
            <w:pPr>
              <w:widowControl/>
              <w:jc w:val="center"/>
              <w:rPr>
                <w:rFonts w:hint="eastAsia" w:ascii="宋体" w:hAnsi="宋体" w:eastAsia="宋体" w:cs="仿宋_GB2312"/>
                <w:kern w:val="0"/>
                <w:sz w:val="21"/>
              </w:rPr>
            </w:pPr>
          </w:p>
        </w:tc>
        <w:tc>
          <w:tcPr>
            <w:tcW w:w="686" w:type="pct"/>
            <w:vMerge w:val="continue"/>
            <w:noWrap w:val="0"/>
            <w:vAlign w:val="center"/>
          </w:tcPr>
          <w:p>
            <w:pPr>
              <w:widowControl/>
              <w:jc w:val="center"/>
              <w:rPr>
                <w:rFonts w:hint="eastAsia" w:ascii="宋体" w:hAnsi="宋体" w:eastAsia="宋体" w:cs="仿宋_GB2312"/>
                <w:kern w:val="0"/>
                <w:sz w:val="21"/>
                <w:lang w:val="en-US" w:eastAsia="zh-CN"/>
              </w:rPr>
            </w:pPr>
          </w:p>
        </w:tc>
        <w:tc>
          <w:tcPr>
            <w:tcW w:w="1549" w:type="pct"/>
            <w:gridSpan w:val="3"/>
            <w:noWrap w:val="0"/>
            <w:vAlign w:val="center"/>
          </w:tcPr>
          <w:p>
            <w:pPr>
              <w:widowControl/>
              <w:jc w:val="center"/>
              <w:rPr>
                <w:rFonts w:hint="default"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志愿服务活动圆满成功</w:t>
            </w:r>
          </w:p>
        </w:tc>
        <w:tc>
          <w:tcPr>
            <w:tcW w:w="900" w:type="pct"/>
            <w:gridSpan w:val="2"/>
            <w:noWrap w:val="0"/>
            <w:vAlign w:val="center"/>
          </w:tcPr>
          <w:p>
            <w:pPr>
              <w:widowControl/>
              <w:jc w:val="center"/>
              <w:rPr>
                <w:rFonts w:hint="default"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100%</w:t>
            </w:r>
          </w:p>
        </w:tc>
        <w:tc>
          <w:tcPr>
            <w:tcW w:w="1071" w:type="pct"/>
            <w:gridSpan w:val="2"/>
            <w:noWrap w:val="0"/>
            <w:vAlign w:val="center"/>
          </w:tcPr>
          <w:p>
            <w:pPr>
              <w:widowControl/>
              <w:jc w:val="center"/>
              <w:rPr>
                <w:rFonts w:hint="default" w:ascii="宋体" w:hAnsi="宋体" w:eastAsia="宋体" w:cs="Times New Roman"/>
                <w:kern w:val="0"/>
                <w:sz w:val="21"/>
                <w:szCs w:val="24"/>
                <w:highlight w:val="none"/>
                <w:lang w:val="en-US" w:eastAsia="zh-CN" w:bidi="ar-SA"/>
              </w:rPr>
            </w:pPr>
            <w:r>
              <w:rPr>
                <w:rFonts w:hint="eastAsia" w:ascii="宋体" w:hAnsi="宋体" w:eastAsia="宋体" w:cs="Times New Roman"/>
                <w:kern w:val="0"/>
                <w:sz w:val="21"/>
                <w:szCs w:val="24"/>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jc w:val="center"/>
              <w:rPr>
                <w:rFonts w:ascii="宋体" w:hAnsi="宋体" w:eastAsia="宋体" w:cs="Times New Roman"/>
                <w:kern w:val="0"/>
                <w:sz w:val="21"/>
              </w:rPr>
            </w:pPr>
          </w:p>
        </w:tc>
        <w:tc>
          <w:tcPr>
            <w:tcW w:w="424" w:type="pct"/>
            <w:vMerge w:val="continue"/>
            <w:noWrap w:val="0"/>
            <w:vAlign w:val="center"/>
          </w:tcPr>
          <w:p>
            <w:pPr>
              <w:widowControl/>
              <w:jc w:val="center"/>
              <w:rPr>
                <w:rFonts w:hint="eastAsia" w:ascii="宋体" w:hAnsi="宋体" w:eastAsia="宋体" w:cs="仿宋_GB2312"/>
                <w:kern w:val="0"/>
                <w:sz w:val="21"/>
              </w:rPr>
            </w:pPr>
          </w:p>
        </w:tc>
        <w:tc>
          <w:tcPr>
            <w:tcW w:w="686" w:type="pct"/>
            <w:noWrap w:val="0"/>
            <w:vAlign w:val="center"/>
          </w:tcPr>
          <w:p>
            <w:pPr>
              <w:widowControl/>
              <w:jc w:val="center"/>
              <w:rPr>
                <w:rFonts w:hint="default" w:ascii="宋体" w:hAnsi="宋体" w:eastAsia="宋体" w:cs="仿宋_GB2312"/>
                <w:kern w:val="0"/>
                <w:sz w:val="21"/>
                <w:lang w:val="en-US" w:eastAsia="zh-CN"/>
              </w:rPr>
            </w:pPr>
            <w:r>
              <w:rPr>
                <w:rFonts w:hint="eastAsia" w:ascii="宋体" w:hAnsi="宋体" w:eastAsia="宋体" w:cs="仿宋_GB2312"/>
                <w:kern w:val="0"/>
                <w:sz w:val="21"/>
                <w:lang w:val="en-US" w:eastAsia="zh-CN"/>
              </w:rPr>
              <w:t>时效指标</w:t>
            </w:r>
          </w:p>
        </w:tc>
        <w:tc>
          <w:tcPr>
            <w:tcW w:w="1549" w:type="pct"/>
            <w:gridSpan w:val="3"/>
            <w:noWrap w:val="0"/>
            <w:vAlign w:val="center"/>
          </w:tcPr>
          <w:p>
            <w:pPr>
              <w:widowControl/>
              <w:jc w:val="center"/>
              <w:rPr>
                <w:rFonts w:hint="default"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培训完成时间</w:t>
            </w:r>
          </w:p>
        </w:tc>
        <w:tc>
          <w:tcPr>
            <w:tcW w:w="900" w:type="pct"/>
            <w:gridSpan w:val="2"/>
            <w:noWrap w:val="0"/>
            <w:vAlign w:val="center"/>
          </w:tcPr>
          <w:p>
            <w:pPr>
              <w:widowControl/>
              <w:jc w:val="center"/>
              <w:rPr>
                <w:rFonts w:hint="default"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12月底完成</w:t>
            </w:r>
          </w:p>
        </w:tc>
        <w:tc>
          <w:tcPr>
            <w:tcW w:w="1071" w:type="pct"/>
            <w:gridSpan w:val="2"/>
            <w:noWrap w:val="0"/>
            <w:vAlign w:val="center"/>
          </w:tcPr>
          <w:p>
            <w:pPr>
              <w:widowControl/>
              <w:jc w:val="center"/>
              <w:rPr>
                <w:rFonts w:hint="default" w:ascii="宋体" w:hAnsi="宋体" w:eastAsia="宋体" w:cs="Times New Roman"/>
                <w:kern w:val="0"/>
                <w:sz w:val="21"/>
                <w:szCs w:val="24"/>
                <w:highlight w:val="none"/>
                <w:lang w:val="en-US" w:eastAsia="zh-CN" w:bidi="ar-SA"/>
              </w:rPr>
            </w:pPr>
            <w:r>
              <w:rPr>
                <w:rFonts w:hint="eastAsia" w:ascii="宋体" w:hAnsi="宋体" w:eastAsia="宋体" w:cs="Times New Roman"/>
                <w:kern w:val="0"/>
                <w:sz w:val="21"/>
                <w:szCs w:val="24"/>
                <w:highlight w:val="none"/>
                <w:lang w:val="en-US" w:eastAsia="zh-CN" w:bidi="ar-SA"/>
              </w:rPr>
              <w:t>10月完成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jc w:val="center"/>
              <w:rPr>
                <w:rFonts w:ascii="宋体" w:hAnsi="宋体" w:eastAsia="宋体" w:cs="Times New Roman"/>
                <w:kern w:val="0"/>
                <w:sz w:val="21"/>
              </w:rPr>
            </w:pPr>
          </w:p>
        </w:tc>
        <w:tc>
          <w:tcPr>
            <w:tcW w:w="424" w:type="pct"/>
            <w:vMerge w:val="restart"/>
            <w:noWrap w:val="0"/>
            <w:vAlign w:val="center"/>
          </w:tcPr>
          <w:p>
            <w:pPr>
              <w:widowControl/>
              <w:jc w:val="center"/>
              <w:rPr>
                <w:rFonts w:hint="eastAsia" w:ascii="宋体" w:hAnsi="宋体" w:eastAsia="宋体" w:cs="Times New Roman"/>
                <w:kern w:val="0"/>
                <w:sz w:val="21"/>
                <w:szCs w:val="24"/>
                <w:lang w:val="en-US" w:eastAsia="zh-CN" w:bidi="ar-SA"/>
              </w:rPr>
            </w:pPr>
            <w:r>
              <w:rPr>
                <w:rFonts w:hint="eastAsia" w:ascii="宋体" w:hAnsi="宋体" w:eastAsia="宋体" w:cs="仿宋_GB2312"/>
                <w:kern w:val="0"/>
                <w:sz w:val="21"/>
              </w:rPr>
              <w:t>效益指标</w:t>
            </w:r>
          </w:p>
        </w:tc>
        <w:tc>
          <w:tcPr>
            <w:tcW w:w="686" w:type="pct"/>
            <w:vMerge w:val="restart"/>
            <w:noWrap w:val="0"/>
            <w:vAlign w:val="center"/>
          </w:tcPr>
          <w:p>
            <w:pPr>
              <w:widowControl/>
              <w:jc w:val="center"/>
              <w:rPr>
                <w:rFonts w:hint="eastAsia" w:ascii="宋体" w:hAnsi="宋体" w:eastAsia="宋体" w:cs="仿宋_GB2312"/>
                <w:kern w:val="0"/>
                <w:sz w:val="21"/>
                <w:szCs w:val="24"/>
                <w:lang w:val="en-US" w:eastAsia="zh-CN" w:bidi="ar-SA"/>
              </w:rPr>
            </w:pPr>
            <w:r>
              <w:rPr>
                <w:rFonts w:hint="eastAsia" w:ascii="宋体" w:hAnsi="宋体" w:eastAsia="宋体" w:cs="仿宋_GB2312"/>
                <w:kern w:val="0"/>
                <w:sz w:val="21"/>
                <w:lang w:val="en-US" w:eastAsia="zh-CN"/>
              </w:rPr>
              <w:t>社会效益指标</w:t>
            </w:r>
          </w:p>
        </w:tc>
        <w:tc>
          <w:tcPr>
            <w:tcW w:w="1549" w:type="pct"/>
            <w:gridSpan w:val="3"/>
            <w:noWrap w:val="0"/>
            <w:vAlign w:val="center"/>
          </w:tcPr>
          <w:p>
            <w:pPr>
              <w:widowControl/>
              <w:jc w:val="center"/>
              <w:rPr>
                <w:rFonts w:hint="default"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为区内突出事件存积救援力量</w:t>
            </w:r>
          </w:p>
        </w:tc>
        <w:tc>
          <w:tcPr>
            <w:tcW w:w="900" w:type="pct"/>
            <w:gridSpan w:val="2"/>
            <w:noWrap w:val="0"/>
            <w:vAlign w:val="center"/>
          </w:tcPr>
          <w:p>
            <w:pPr>
              <w:widowControl/>
              <w:jc w:val="center"/>
              <w:rPr>
                <w:rFonts w:hint="eastAsia"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是</w:t>
            </w:r>
          </w:p>
        </w:tc>
        <w:tc>
          <w:tcPr>
            <w:tcW w:w="1071" w:type="pct"/>
            <w:gridSpan w:val="2"/>
            <w:noWrap w:val="0"/>
            <w:vAlign w:val="center"/>
          </w:tcPr>
          <w:p>
            <w:pPr>
              <w:widowControl/>
              <w:jc w:val="center"/>
              <w:rPr>
                <w:rFonts w:hint="eastAsia" w:ascii="宋体" w:hAnsi="宋体" w:eastAsia="宋体" w:cs="Times New Roman"/>
                <w:kern w:val="0"/>
                <w:sz w:val="21"/>
                <w:szCs w:val="24"/>
                <w:highlight w:val="none"/>
                <w:lang w:val="en-US" w:eastAsia="zh-CN" w:bidi="ar-SA"/>
              </w:rPr>
            </w:pPr>
            <w:r>
              <w:rPr>
                <w:rFonts w:hint="eastAsia" w:ascii="宋体" w:hAnsi="宋体" w:eastAsia="宋体" w:cs="Times New Roman"/>
                <w:kern w:val="0"/>
                <w:sz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jc w:val="center"/>
              <w:rPr>
                <w:rFonts w:ascii="宋体" w:hAnsi="宋体" w:eastAsia="宋体" w:cs="Times New Roman"/>
                <w:kern w:val="0"/>
                <w:sz w:val="21"/>
              </w:rPr>
            </w:pPr>
          </w:p>
        </w:tc>
        <w:tc>
          <w:tcPr>
            <w:tcW w:w="424" w:type="pct"/>
            <w:vMerge w:val="continue"/>
            <w:noWrap w:val="0"/>
            <w:vAlign w:val="center"/>
          </w:tcPr>
          <w:p>
            <w:pPr>
              <w:widowControl/>
              <w:jc w:val="center"/>
              <w:rPr>
                <w:rFonts w:hint="eastAsia" w:ascii="宋体" w:hAnsi="宋体" w:eastAsia="宋体" w:cs="Times New Roman"/>
                <w:kern w:val="0"/>
                <w:sz w:val="21"/>
                <w:szCs w:val="24"/>
                <w:lang w:val="en-US" w:eastAsia="zh-CN" w:bidi="ar-SA"/>
              </w:rPr>
            </w:pPr>
          </w:p>
        </w:tc>
        <w:tc>
          <w:tcPr>
            <w:tcW w:w="686" w:type="pct"/>
            <w:vMerge w:val="continue"/>
            <w:noWrap w:val="0"/>
            <w:vAlign w:val="center"/>
          </w:tcPr>
          <w:p>
            <w:pPr>
              <w:widowControl/>
              <w:jc w:val="center"/>
              <w:rPr>
                <w:rFonts w:hint="eastAsia" w:ascii="宋体" w:hAnsi="宋体" w:eastAsia="宋体" w:cs="仿宋_GB2312"/>
                <w:kern w:val="0"/>
                <w:sz w:val="21"/>
                <w:szCs w:val="24"/>
                <w:lang w:val="en-US" w:eastAsia="zh-CN" w:bidi="ar-SA"/>
              </w:rPr>
            </w:pPr>
          </w:p>
        </w:tc>
        <w:tc>
          <w:tcPr>
            <w:tcW w:w="1549" w:type="pct"/>
            <w:gridSpan w:val="3"/>
            <w:noWrap w:val="0"/>
            <w:vAlign w:val="center"/>
          </w:tcPr>
          <w:p>
            <w:pPr>
              <w:widowControl/>
              <w:jc w:val="center"/>
              <w:rPr>
                <w:rFonts w:hint="eastAsia" w:ascii="宋体" w:hAnsi="宋体" w:eastAsia="宋体" w:cs="Times New Roman"/>
                <w:kern w:val="0"/>
                <w:sz w:val="21"/>
                <w:szCs w:val="24"/>
                <w:highlight w:val="none"/>
                <w:lang w:val="en-US" w:eastAsia="zh-CN" w:bidi="ar-SA"/>
              </w:rPr>
            </w:pPr>
            <w:r>
              <w:rPr>
                <w:rFonts w:hint="eastAsia" w:ascii="宋体" w:hAnsi="宋体" w:eastAsia="宋体" w:cs="Times New Roman"/>
                <w:kern w:val="0"/>
                <w:sz w:val="21"/>
                <w:highlight w:val="none"/>
                <w:lang w:val="en-US" w:eastAsia="zh-CN"/>
              </w:rPr>
              <w:t>提高群众自救能力和应急处置能力</w:t>
            </w:r>
          </w:p>
        </w:tc>
        <w:tc>
          <w:tcPr>
            <w:tcW w:w="900" w:type="pct"/>
            <w:gridSpan w:val="2"/>
            <w:noWrap w:val="0"/>
            <w:vAlign w:val="center"/>
          </w:tcPr>
          <w:p>
            <w:pPr>
              <w:widowControl/>
              <w:jc w:val="center"/>
              <w:rPr>
                <w:rFonts w:hint="eastAsia" w:ascii="宋体" w:hAnsi="宋体" w:eastAsia="宋体" w:cs="Times New Roman"/>
                <w:kern w:val="0"/>
                <w:sz w:val="21"/>
                <w:szCs w:val="24"/>
                <w:highlight w:val="none"/>
                <w:lang w:val="en-US" w:eastAsia="zh-CN" w:bidi="ar-SA"/>
              </w:rPr>
            </w:pPr>
            <w:r>
              <w:rPr>
                <w:rFonts w:hint="eastAsia" w:ascii="宋体" w:hAnsi="宋体" w:eastAsia="宋体" w:cs="Times New Roman"/>
                <w:kern w:val="0"/>
                <w:sz w:val="21"/>
                <w:highlight w:val="none"/>
                <w:lang w:val="en-US" w:eastAsia="zh-CN"/>
              </w:rPr>
              <w:t>是</w:t>
            </w:r>
          </w:p>
        </w:tc>
        <w:tc>
          <w:tcPr>
            <w:tcW w:w="1071" w:type="pct"/>
            <w:gridSpan w:val="2"/>
            <w:noWrap w:val="0"/>
            <w:vAlign w:val="center"/>
          </w:tcPr>
          <w:p>
            <w:pPr>
              <w:widowControl/>
              <w:jc w:val="center"/>
              <w:rPr>
                <w:rFonts w:hint="eastAsia" w:ascii="宋体" w:hAnsi="宋体" w:eastAsia="宋体" w:cs="Times New Roman"/>
                <w:kern w:val="0"/>
                <w:sz w:val="21"/>
                <w:szCs w:val="24"/>
                <w:highlight w:val="none"/>
                <w:lang w:val="en-US" w:eastAsia="zh-CN" w:bidi="ar-SA"/>
              </w:rPr>
            </w:pPr>
            <w:r>
              <w:rPr>
                <w:rFonts w:hint="eastAsia" w:ascii="宋体" w:hAnsi="宋体" w:eastAsia="宋体" w:cs="Times New Roman"/>
                <w:kern w:val="0"/>
                <w:sz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jc w:val="center"/>
              <w:rPr>
                <w:rFonts w:ascii="宋体" w:hAnsi="宋体" w:eastAsia="宋体" w:cs="Times New Roman"/>
                <w:kern w:val="0"/>
                <w:sz w:val="21"/>
              </w:rPr>
            </w:pPr>
          </w:p>
        </w:tc>
        <w:tc>
          <w:tcPr>
            <w:tcW w:w="424" w:type="pct"/>
            <w:noWrap w:val="0"/>
            <w:vAlign w:val="center"/>
          </w:tcPr>
          <w:p>
            <w:pPr>
              <w:widowControl/>
              <w:jc w:val="center"/>
              <w:rPr>
                <w:rFonts w:hint="default"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满意度指标</w:t>
            </w:r>
          </w:p>
        </w:tc>
        <w:tc>
          <w:tcPr>
            <w:tcW w:w="686" w:type="pct"/>
            <w:noWrap w:val="0"/>
            <w:vAlign w:val="center"/>
          </w:tcPr>
          <w:p>
            <w:pPr>
              <w:widowControl/>
              <w:jc w:val="center"/>
              <w:rPr>
                <w:rFonts w:hint="default" w:ascii="宋体" w:hAnsi="宋体" w:eastAsia="宋体" w:cs="仿宋_GB2312"/>
                <w:kern w:val="0"/>
                <w:sz w:val="21"/>
                <w:szCs w:val="24"/>
                <w:lang w:val="en-US" w:eastAsia="zh-CN" w:bidi="ar-SA"/>
              </w:rPr>
            </w:pPr>
            <w:r>
              <w:rPr>
                <w:rFonts w:hint="eastAsia" w:ascii="宋体" w:hAnsi="宋体" w:eastAsia="宋体" w:cs="仿宋_GB2312"/>
                <w:kern w:val="0"/>
                <w:sz w:val="21"/>
                <w:szCs w:val="24"/>
                <w:lang w:val="en-US" w:eastAsia="zh-CN" w:bidi="ar-SA"/>
              </w:rPr>
              <w:t>社会公众或服务对象满意度指标</w:t>
            </w:r>
          </w:p>
        </w:tc>
        <w:tc>
          <w:tcPr>
            <w:tcW w:w="1549" w:type="pct"/>
            <w:gridSpan w:val="3"/>
            <w:noWrap w:val="0"/>
            <w:vAlign w:val="center"/>
          </w:tcPr>
          <w:p>
            <w:pPr>
              <w:widowControl/>
              <w:jc w:val="center"/>
              <w:rPr>
                <w:rFonts w:hint="default"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社会公众对开展此项工作的满意度</w:t>
            </w:r>
          </w:p>
        </w:tc>
        <w:tc>
          <w:tcPr>
            <w:tcW w:w="900" w:type="pct"/>
            <w:gridSpan w:val="2"/>
            <w:noWrap w:val="0"/>
            <w:vAlign w:val="center"/>
          </w:tcPr>
          <w:p>
            <w:pPr>
              <w:widowControl/>
              <w:jc w:val="center"/>
              <w:rPr>
                <w:rFonts w:hint="eastAsia"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＞90%</w:t>
            </w:r>
          </w:p>
        </w:tc>
        <w:tc>
          <w:tcPr>
            <w:tcW w:w="1071" w:type="pct"/>
            <w:gridSpan w:val="2"/>
            <w:noWrap w:val="0"/>
            <w:vAlign w:val="center"/>
          </w:tcPr>
          <w:p>
            <w:pPr>
              <w:widowControl/>
              <w:jc w:val="center"/>
              <w:rPr>
                <w:rFonts w:hint="default" w:ascii="宋体" w:hAnsi="宋体" w:eastAsia="宋体" w:cs="Times New Roman"/>
                <w:kern w:val="0"/>
                <w:sz w:val="21"/>
                <w:szCs w:val="24"/>
                <w:highlight w:val="none"/>
                <w:lang w:val="en-US" w:eastAsia="zh-CN" w:bidi="ar-SA"/>
              </w:rPr>
            </w:pPr>
            <w:r>
              <w:rPr>
                <w:rFonts w:hint="eastAsia" w:ascii="宋体" w:hAnsi="宋体" w:eastAsia="宋体" w:cs="Times New Roman"/>
                <w:kern w:val="0"/>
                <w:sz w:val="21"/>
                <w:szCs w:val="24"/>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10"/>
            <w:noWrap w:val="0"/>
            <w:vAlign w:val="center"/>
          </w:tcPr>
          <w:p>
            <w:pPr>
              <w:widowControl/>
              <w:rPr>
                <w:rFonts w:hint="default" w:ascii="宋体" w:hAnsi="宋体" w:eastAsia="宋体" w:cs="Times New Roman"/>
                <w:kern w:val="0"/>
                <w:sz w:val="21"/>
                <w:highlight w:val="yellow"/>
                <w:lang w:val="en-US"/>
              </w:rPr>
            </w:pPr>
            <w:r>
              <w:rPr>
                <w:rFonts w:hint="eastAsia" w:ascii="宋体" w:hAnsi="宋体" w:eastAsia="宋体" w:cs="仿宋_GB2312"/>
                <w:kern w:val="0"/>
                <w:sz w:val="21"/>
                <w:highlight w:val="none"/>
              </w:rPr>
              <w:t>年度目标</w:t>
            </w:r>
            <w:r>
              <w:rPr>
                <w:rFonts w:hint="eastAsia" w:ascii="宋体" w:hAnsi="宋体" w:eastAsia="宋体" w:cs="仿宋_GB2312"/>
                <w:kern w:val="0"/>
                <w:sz w:val="21"/>
                <w:highlight w:val="none"/>
                <w:lang w:val="en-US" w:eastAsia="zh-CN"/>
              </w:rPr>
              <w:t>2</w:t>
            </w:r>
            <w:r>
              <w:rPr>
                <w:rFonts w:hint="eastAsia" w:ascii="宋体" w:hAnsi="宋体" w:eastAsia="宋体" w:cs="仿宋_GB2312"/>
                <w:kern w:val="0"/>
                <w:sz w:val="21"/>
                <w:highlight w:val="none"/>
              </w:rPr>
              <w:t>：</w:t>
            </w:r>
            <w:r>
              <w:rPr>
                <w:rFonts w:hint="eastAsia" w:ascii="宋体" w:hAnsi="宋体" w:eastAsia="宋体" w:cs="Times New Roman"/>
                <w:kern w:val="0"/>
                <w:sz w:val="21"/>
                <w:lang w:val="en-US" w:eastAsia="zh-CN"/>
              </w:rPr>
              <w:t>完成红十字发展专项工作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restart"/>
            <w:noWrap w:val="0"/>
            <w:vAlign w:val="center"/>
          </w:tcPr>
          <w:p>
            <w:pPr>
              <w:widowControl/>
              <w:jc w:val="center"/>
              <w:rPr>
                <w:rFonts w:ascii="宋体" w:hAnsi="宋体" w:eastAsia="宋体" w:cs="Times New Roman"/>
                <w:kern w:val="0"/>
                <w:sz w:val="21"/>
              </w:rPr>
            </w:pPr>
            <w:r>
              <w:rPr>
                <w:rFonts w:hint="eastAsia" w:ascii="宋体" w:hAnsi="宋体" w:eastAsia="宋体" w:cs="仿宋_GB2312"/>
                <w:kern w:val="0"/>
                <w:sz w:val="21"/>
              </w:rPr>
              <w:t>年度绩效目标完成情况</w:t>
            </w:r>
          </w:p>
        </w:tc>
        <w:tc>
          <w:tcPr>
            <w:tcW w:w="424" w:type="pct"/>
            <w:noWrap w:val="0"/>
            <w:vAlign w:val="center"/>
          </w:tcPr>
          <w:p>
            <w:pPr>
              <w:jc w:val="center"/>
              <w:rPr>
                <w:rFonts w:ascii="宋体" w:hAnsi="宋体" w:eastAsia="宋体" w:cs="Times New Roman"/>
                <w:kern w:val="0"/>
                <w:sz w:val="21"/>
              </w:rPr>
            </w:pPr>
            <w:r>
              <w:rPr>
                <w:rFonts w:hint="eastAsia" w:ascii="宋体" w:hAnsi="宋体" w:eastAsia="宋体" w:cs="仿宋_GB2312"/>
                <w:kern w:val="0"/>
                <w:sz w:val="21"/>
              </w:rPr>
              <w:t>一级指标</w:t>
            </w:r>
          </w:p>
        </w:tc>
        <w:tc>
          <w:tcPr>
            <w:tcW w:w="686" w:type="pct"/>
            <w:noWrap w:val="0"/>
            <w:vAlign w:val="center"/>
          </w:tcPr>
          <w:p>
            <w:pPr>
              <w:widowControl/>
              <w:jc w:val="center"/>
              <w:rPr>
                <w:rFonts w:ascii="宋体" w:hAnsi="宋体" w:eastAsia="宋体" w:cs="Times New Roman"/>
                <w:kern w:val="0"/>
                <w:sz w:val="21"/>
              </w:rPr>
            </w:pPr>
            <w:r>
              <w:rPr>
                <w:rFonts w:hint="eastAsia" w:ascii="宋体" w:hAnsi="宋体" w:eastAsia="宋体" w:cs="仿宋_GB2312"/>
                <w:kern w:val="0"/>
                <w:sz w:val="21"/>
              </w:rPr>
              <w:t>二级指标</w:t>
            </w:r>
          </w:p>
        </w:tc>
        <w:tc>
          <w:tcPr>
            <w:tcW w:w="1549" w:type="pct"/>
            <w:gridSpan w:val="3"/>
            <w:noWrap w:val="0"/>
            <w:vAlign w:val="center"/>
          </w:tcPr>
          <w:p>
            <w:pPr>
              <w:widowControl/>
              <w:jc w:val="center"/>
              <w:rPr>
                <w:rFonts w:ascii="宋体" w:hAnsi="宋体" w:eastAsia="宋体" w:cs="Times New Roman"/>
                <w:kern w:val="0"/>
                <w:sz w:val="21"/>
                <w:highlight w:val="none"/>
              </w:rPr>
            </w:pPr>
            <w:r>
              <w:rPr>
                <w:rFonts w:hint="eastAsia" w:ascii="宋体" w:hAnsi="宋体" w:eastAsia="宋体" w:cs="仿宋_GB2312"/>
                <w:kern w:val="0"/>
                <w:sz w:val="21"/>
                <w:highlight w:val="none"/>
              </w:rPr>
              <w:t>三级指标</w:t>
            </w:r>
          </w:p>
        </w:tc>
        <w:tc>
          <w:tcPr>
            <w:tcW w:w="900" w:type="pct"/>
            <w:gridSpan w:val="2"/>
            <w:noWrap w:val="0"/>
            <w:vAlign w:val="center"/>
          </w:tcPr>
          <w:p>
            <w:pPr>
              <w:widowControl/>
              <w:jc w:val="center"/>
              <w:rPr>
                <w:rFonts w:ascii="宋体" w:hAnsi="宋体" w:eastAsia="宋体" w:cs="Times New Roman"/>
                <w:kern w:val="0"/>
                <w:sz w:val="21"/>
                <w:highlight w:val="none"/>
              </w:rPr>
            </w:pPr>
            <w:r>
              <w:rPr>
                <w:rFonts w:hint="eastAsia" w:ascii="宋体" w:hAnsi="宋体" w:eastAsia="宋体" w:cs="仿宋_GB2312"/>
                <w:kern w:val="0"/>
                <w:sz w:val="21"/>
                <w:highlight w:val="none"/>
              </w:rPr>
              <w:t>年初目标值</w:t>
            </w:r>
          </w:p>
        </w:tc>
        <w:tc>
          <w:tcPr>
            <w:tcW w:w="1071" w:type="pct"/>
            <w:gridSpan w:val="2"/>
            <w:noWrap w:val="0"/>
            <w:vAlign w:val="center"/>
          </w:tcPr>
          <w:p>
            <w:pPr>
              <w:widowControl/>
              <w:jc w:val="center"/>
              <w:rPr>
                <w:rFonts w:ascii="宋体" w:hAnsi="宋体" w:eastAsia="宋体" w:cs="Times New Roman"/>
                <w:kern w:val="0"/>
                <w:sz w:val="21"/>
                <w:highlight w:val="none"/>
              </w:rPr>
            </w:pPr>
            <w:r>
              <w:rPr>
                <w:rFonts w:hint="eastAsia" w:ascii="宋体" w:hAnsi="宋体" w:eastAsia="宋体" w:cs="仿宋_GB2312"/>
                <w:kern w:val="0"/>
                <w:sz w:val="21"/>
                <w:highlight w:val="none"/>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widowControl/>
              <w:rPr>
                <w:rFonts w:hint="eastAsia" w:ascii="宋体" w:hAnsi="宋体" w:eastAsia="宋体" w:cs="Times New Roman"/>
                <w:kern w:val="0"/>
                <w:sz w:val="21"/>
              </w:rPr>
            </w:pPr>
          </w:p>
        </w:tc>
        <w:tc>
          <w:tcPr>
            <w:tcW w:w="424" w:type="pct"/>
            <w:vMerge w:val="restart"/>
            <w:noWrap w:val="0"/>
            <w:vAlign w:val="center"/>
          </w:tcPr>
          <w:p>
            <w:pPr>
              <w:widowControl/>
              <w:jc w:val="center"/>
              <w:rPr>
                <w:rFonts w:hint="eastAsia" w:ascii="宋体" w:hAnsi="宋体" w:eastAsia="宋体" w:cs="仿宋_GB2312"/>
                <w:kern w:val="0"/>
                <w:sz w:val="21"/>
                <w:lang w:val="en-US" w:eastAsia="zh-CN"/>
              </w:rPr>
            </w:pPr>
            <w:r>
              <w:rPr>
                <w:rFonts w:hint="eastAsia" w:ascii="宋体" w:hAnsi="宋体" w:eastAsia="宋体" w:cs="仿宋_GB2312"/>
                <w:kern w:val="0"/>
                <w:sz w:val="21"/>
              </w:rPr>
              <w:t>产出指标</w:t>
            </w:r>
          </w:p>
        </w:tc>
        <w:tc>
          <w:tcPr>
            <w:tcW w:w="686" w:type="pct"/>
            <w:vMerge w:val="restart"/>
            <w:noWrap w:val="0"/>
            <w:vAlign w:val="center"/>
          </w:tcPr>
          <w:p>
            <w:pPr>
              <w:widowControl/>
              <w:jc w:val="center"/>
              <w:rPr>
                <w:rFonts w:hint="eastAsia" w:ascii="宋体" w:hAnsi="宋体" w:eastAsia="宋体" w:cs="仿宋_GB2312"/>
                <w:kern w:val="0"/>
                <w:sz w:val="21"/>
                <w:szCs w:val="24"/>
                <w:lang w:val="en-US" w:eastAsia="zh-CN" w:bidi="ar-SA"/>
              </w:rPr>
            </w:pPr>
            <w:r>
              <w:rPr>
                <w:rFonts w:hint="eastAsia" w:ascii="宋体" w:hAnsi="宋体" w:eastAsia="宋体" w:cs="Times New Roman"/>
                <w:kern w:val="0"/>
                <w:sz w:val="21"/>
                <w:lang w:val="en-US" w:eastAsia="zh-CN"/>
              </w:rPr>
              <w:t>数量指标</w:t>
            </w:r>
          </w:p>
        </w:tc>
        <w:tc>
          <w:tcPr>
            <w:tcW w:w="1549" w:type="pct"/>
            <w:gridSpan w:val="3"/>
            <w:noWrap w:val="0"/>
            <w:vAlign w:val="center"/>
          </w:tcPr>
          <w:p>
            <w:pPr>
              <w:widowControl/>
              <w:jc w:val="center"/>
              <w:rPr>
                <w:rFonts w:hint="default" w:ascii="宋体" w:hAnsi="宋体" w:eastAsia="宋体" w:cs="Times New Roman"/>
                <w:kern w:val="0"/>
                <w:sz w:val="21"/>
                <w:szCs w:val="24"/>
                <w:lang w:val="en-US" w:eastAsia="zh-CN" w:bidi="ar-SA"/>
              </w:rPr>
            </w:pPr>
            <w:r>
              <w:rPr>
                <w:rFonts w:hint="eastAsia" w:ascii="宋体" w:hAnsi="宋体" w:eastAsia="宋体" w:cs="Times New Roman"/>
                <w:kern w:val="0"/>
                <w:sz w:val="21"/>
                <w:lang w:val="en-US" w:eastAsia="zh-CN"/>
              </w:rPr>
              <w:t>信息数量</w:t>
            </w:r>
          </w:p>
        </w:tc>
        <w:tc>
          <w:tcPr>
            <w:tcW w:w="900" w:type="pct"/>
            <w:gridSpan w:val="2"/>
            <w:noWrap w:val="0"/>
            <w:vAlign w:val="center"/>
          </w:tcPr>
          <w:p>
            <w:pPr>
              <w:widowControl/>
              <w:jc w:val="center"/>
              <w:rPr>
                <w:rFonts w:hint="default" w:ascii="宋体" w:hAnsi="宋体" w:eastAsia="宋体" w:cs="Times New Roman"/>
                <w:kern w:val="0"/>
                <w:sz w:val="21"/>
                <w:szCs w:val="24"/>
                <w:lang w:val="en-US" w:eastAsia="zh-CN" w:bidi="ar-SA"/>
              </w:rPr>
            </w:pPr>
            <w:r>
              <w:rPr>
                <w:rFonts w:hint="eastAsia" w:ascii="宋体" w:hAnsi="宋体" w:eastAsia="宋体" w:cs="Times New Roman"/>
                <w:kern w:val="0"/>
                <w:sz w:val="21"/>
                <w:lang w:val="en-US" w:eastAsia="zh-CN"/>
              </w:rPr>
              <w:t>＞10篇</w:t>
            </w:r>
          </w:p>
        </w:tc>
        <w:tc>
          <w:tcPr>
            <w:tcW w:w="1071" w:type="pct"/>
            <w:gridSpan w:val="2"/>
            <w:noWrap w:val="0"/>
            <w:vAlign w:val="center"/>
          </w:tcPr>
          <w:p>
            <w:pPr>
              <w:widowControl/>
              <w:jc w:val="center"/>
              <w:rPr>
                <w:rFonts w:hint="default" w:ascii="宋体" w:hAnsi="宋体" w:eastAsia="宋体" w:cs="Times New Roman"/>
                <w:kern w:val="0"/>
                <w:sz w:val="21"/>
                <w:szCs w:val="24"/>
                <w:lang w:val="en-US" w:eastAsia="zh-CN" w:bidi="ar-SA"/>
              </w:rPr>
            </w:pPr>
            <w:r>
              <w:rPr>
                <w:rFonts w:hint="eastAsia" w:ascii="宋体" w:hAnsi="宋体" w:eastAsia="宋体" w:cs="Times New Roman"/>
                <w:kern w:val="0"/>
                <w:sz w:val="21"/>
                <w:highlight w:val="none"/>
                <w:lang w:val="en-US" w:eastAsia="zh-CN"/>
              </w:rPr>
              <w:t>40篇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widowControl/>
              <w:rPr>
                <w:rFonts w:hint="eastAsia" w:ascii="宋体" w:hAnsi="宋体" w:eastAsia="宋体" w:cs="Times New Roman"/>
                <w:kern w:val="0"/>
                <w:sz w:val="21"/>
              </w:rPr>
            </w:pPr>
          </w:p>
        </w:tc>
        <w:tc>
          <w:tcPr>
            <w:tcW w:w="424" w:type="pct"/>
            <w:vMerge w:val="continue"/>
            <w:noWrap w:val="0"/>
            <w:vAlign w:val="center"/>
          </w:tcPr>
          <w:p>
            <w:pPr>
              <w:widowControl/>
              <w:jc w:val="center"/>
              <w:rPr>
                <w:rFonts w:hint="eastAsia" w:ascii="宋体" w:hAnsi="宋体" w:eastAsia="宋体" w:cs="仿宋_GB2312"/>
                <w:kern w:val="0"/>
                <w:sz w:val="21"/>
                <w:lang w:val="en-US" w:eastAsia="zh-CN"/>
              </w:rPr>
            </w:pPr>
          </w:p>
        </w:tc>
        <w:tc>
          <w:tcPr>
            <w:tcW w:w="686" w:type="pct"/>
            <w:vMerge w:val="continue"/>
            <w:noWrap w:val="0"/>
            <w:vAlign w:val="center"/>
          </w:tcPr>
          <w:p>
            <w:pPr>
              <w:widowControl/>
              <w:jc w:val="center"/>
              <w:rPr>
                <w:rFonts w:hint="eastAsia" w:ascii="宋体" w:hAnsi="宋体" w:eastAsia="宋体" w:cs="Times New Roman"/>
                <w:kern w:val="0"/>
                <w:sz w:val="21"/>
                <w:lang w:val="en-US" w:eastAsia="zh-CN"/>
              </w:rPr>
            </w:pPr>
          </w:p>
        </w:tc>
        <w:tc>
          <w:tcPr>
            <w:tcW w:w="1549" w:type="pct"/>
            <w:gridSpan w:val="3"/>
            <w:noWrap w:val="0"/>
            <w:vAlign w:val="center"/>
          </w:tcPr>
          <w:p>
            <w:pPr>
              <w:widowControl/>
              <w:jc w:val="center"/>
              <w:rPr>
                <w:rFonts w:hint="default" w:ascii="宋体" w:hAnsi="宋体" w:eastAsia="宋体" w:cs="Times New Roman"/>
                <w:kern w:val="0"/>
                <w:sz w:val="21"/>
                <w:szCs w:val="24"/>
                <w:lang w:val="en-US" w:eastAsia="zh-CN" w:bidi="ar-SA"/>
              </w:rPr>
            </w:pPr>
            <w:r>
              <w:rPr>
                <w:rFonts w:hint="eastAsia" w:ascii="宋体" w:hAnsi="宋体" w:eastAsia="宋体" w:cs="Times New Roman"/>
                <w:kern w:val="0"/>
                <w:sz w:val="21"/>
                <w:lang w:val="en-US" w:eastAsia="zh-CN"/>
              </w:rPr>
              <w:t>红十字宣传</w:t>
            </w:r>
          </w:p>
        </w:tc>
        <w:tc>
          <w:tcPr>
            <w:tcW w:w="900" w:type="pct"/>
            <w:gridSpan w:val="2"/>
            <w:noWrap w:val="0"/>
            <w:vAlign w:val="center"/>
          </w:tcPr>
          <w:p>
            <w:pPr>
              <w:widowControl/>
              <w:jc w:val="center"/>
              <w:rPr>
                <w:rFonts w:hint="eastAsia" w:ascii="宋体" w:hAnsi="宋体" w:eastAsia="宋体" w:cs="Times New Roman"/>
                <w:kern w:val="0"/>
                <w:sz w:val="21"/>
                <w:szCs w:val="24"/>
                <w:lang w:val="en-US" w:eastAsia="zh-CN" w:bidi="ar-SA"/>
              </w:rPr>
            </w:pPr>
            <w:r>
              <w:rPr>
                <w:rFonts w:hint="eastAsia" w:ascii="宋体" w:hAnsi="宋体" w:eastAsia="宋体" w:cs="Times New Roman"/>
                <w:kern w:val="0"/>
                <w:sz w:val="21"/>
                <w:lang w:val="en-US" w:eastAsia="zh-CN"/>
              </w:rPr>
              <w:t>≥12篇</w:t>
            </w:r>
          </w:p>
        </w:tc>
        <w:tc>
          <w:tcPr>
            <w:tcW w:w="1071" w:type="pct"/>
            <w:gridSpan w:val="2"/>
            <w:noWrap w:val="0"/>
            <w:vAlign w:val="center"/>
          </w:tcPr>
          <w:p>
            <w:pPr>
              <w:widowControl/>
              <w:jc w:val="center"/>
              <w:rPr>
                <w:rFonts w:hint="default" w:ascii="宋体" w:hAnsi="宋体" w:eastAsia="宋体" w:cs="Times New Roman"/>
                <w:kern w:val="0"/>
                <w:sz w:val="21"/>
                <w:szCs w:val="24"/>
                <w:lang w:val="en-US" w:eastAsia="zh-CN" w:bidi="ar-SA"/>
              </w:rPr>
            </w:pPr>
            <w:r>
              <w:rPr>
                <w:rFonts w:hint="eastAsia" w:ascii="宋体" w:hAnsi="宋体" w:eastAsia="宋体" w:cs="Times New Roman"/>
                <w:kern w:val="0"/>
                <w:sz w:val="21"/>
                <w:lang w:val="en-US" w:eastAsia="zh-CN"/>
              </w:rPr>
              <w:t>30余篇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widowControl/>
              <w:rPr>
                <w:rFonts w:hint="eastAsia" w:ascii="宋体" w:hAnsi="宋体" w:eastAsia="宋体" w:cs="Times New Roman"/>
                <w:kern w:val="0"/>
                <w:sz w:val="21"/>
              </w:rPr>
            </w:pPr>
          </w:p>
        </w:tc>
        <w:tc>
          <w:tcPr>
            <w:tcW w:w="424" w:type="pct"/>
            <w:vMerge w:val="continue"/>
            <w:noWrap w:val="0"/>
            <w:vAlign w:val="center"/>
          </w:tcPr>
          <w:p>
            <w:pPr>
              <w:widowControl/>
              <w:jc w:val="center"/>
              <w:rPr>
                <w:rFonts w:hint="eastAsia" w:ascii="宋体" w:hAnsi="宋体" w:eastAsia="宋体" w:cs="仿宋_GB2312"/>
                <w:kern w:val="0"/>
                <w:sz w:val="21"/>
                <w:lang w:val="en-US" w:eastAsia="zh-CN"/>
              </w:rPr>
            </w:pPr>
          </w:p>
        </w:tc>
        <w:tc>
          <w:tcPr>
            <w:tcW w:w="686" w:type="pct"/>
            <w:vMerge w:val="restart"/>
            <w:noWrap w:val="0"/>
            <w:vAlign w:val="center"/>
          </w:tcPr>
          <w:p>
            <w:pPr>
              <w:widowControl/>
              <w:jc w:val="center"/>
              <w:rPr>
                <w:rFonts w:hint="eastAsia" w:ascii="宋体" w:hAnsi="宋体" w:eastAsia="宋体" w:cs="Times New Roman"/>
                <w:kern w:val="0"/>
                <w:sz w:val="21"/>
                <w:szCs w:val="24"/>
                <w:lang w:val="en-US" w:eastAsia="zh-CN" w:bidi="ar-SA"/>
              </w:rPr>
            </w:pPr>
            <w:r>
              <w:rPr>
                <w:rFonts w:hint="eastAsia" w:ascii="宋体" w:hAnsi="宋体" w:eastAsia="宋体" w:cs="Times New Roman"/>
                <w:kern w:val="0"/>
                <w:sz w:val="21"/>
                <w:lang w:val="en-US" w:eastAsia="zh-CN"/>
              </w:rPr>
              <w:t>质量指标</w:t>
            </w:r>
          </w:p>
        </w:tc>
        <w:tc>
          <w:tcPr>
            <w:tcW w:w="1549" w:type="pct"/>
            <w:gridSpan w:val="3"/>
            <w:noWrap w:val="0"/>
            <w:vAlign w:val="center"/>
          </w:tcPr>
          <w:p>
            <w:pPr>
              <w:widowControl/>
              <w:jc w:val="center"/>
              <w:rPr>
                <w:rFonts w:hint="default" w:ascii="宋体" w:hAnsi="宋体" w:eastAsia="宋体" w:cs="Times New Roman"/>
                <w:kern w:val="0"/>
                <w:sz w:val="21"/>
                <w:lang w:val="en-US" w:eastAsia="zh-CN"/>
              </w:rPr>
            </w:pPr>
            <w:r>
              <w:rPr>
                <w:rFonts w:hint="eastAsia" w:ascii="宋体" w:hAnsi="宋体" w:eastAsia="宋体" w:cs="Times New Roman"/>
                <w:kern w:val="0"/>
                <w:sz w:val="21"/>
                <w:lang w:val="en-US" w:eastAsia="zh-CN"/>
              </w:rPr>
              <w:t>机关正常运行率</w:t>
            </w:r>
          </w:p>
        </w:tc>
        <w:tc>
          <w:tcPr>
            <w:tcW w:w="900" w:type="pct"/>
            <w:gridSpan w:val="2"/>
            <w:noWrap w:val="0"/>
            <w:vAlign w:val="center"/>
          </w:tcPr>
          <w:p>
            <w:pPr>
              <w:widowControl/>
              <w:jc w:val="center"/>
              <w:rPr>
                <w:rFonts w:hint="default" w:ascii="宋体" w:hAnsi="宋体" w:eastAsia="宋体" w:cs="Times New Roman"/>
                <w:kern w:val="0"/>
                <w:sz w:val="21"/>
                <w:lang w:val="en-US" w:eastAsia="zh-CN"/>
              </w:rPr>
            </w:pPr>
            <w:r>
              <w:rPr>
                <w:rFonts w:hint="eastAsia" w:ascii="宋体" w:hAnsi="宋体" w:eastAsia="宋体" w:cs="Times New Roman"/>
                <w:kern w:val="0"/>
                <w:sz w:val="21"/>
                <w:lang w:val="en-US" w:eastAsia="zh-CN"/>
              </w:rPr>
              <w:t>100%</w:t>
            </w:r>
          </w:p>
        </w:tc>
        <w:tc>
          <w:tcPr>
            <w:tcW w:w="1071" w:type="pct"/>
            <w:gridSpan w:val="2"/>
            <w:noWrap w:val="0"/>
            <w:vAlign w:val="center"/>
          </w:tcPr>
          <w:p>
            <w:pPr>
              <w:widowControl/>
              <w:jc w:val="center"/>
              <w:rPr>
                <w:rFonts w:hint="eastAsia" w:ascii="宋体" w:hAnsi="宋体" w:eastAsia="宋体" w:cs="Times New Roman"/>
                <w:kern w:val="0"/>
                <w:sz w:val="21"/>
                <w:lang w:val="en-US" w:eastAsia="zh-CN"/>
              </w:rPr>
            </w:pPr>
            <w:r>
              <w:rPr>
                <w:rFonts w:hint="eastAsia" w:ascii="宋体" w:hAnsi="宋体" w:eastAsia="宋体" w:cs="Times New Roman"/>
                <w:kern w:val="0"/>
                <w:sz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widowControl/>
              <w:rPr>
                <w:rFonts w:hint="eastAsia" w:ascii="宋体" w:hAnsi="宋体" w:eastAsia="宋体" w:cs="Times New Roman"/>
                <w:kern w:val="0"/>
                <w:sz w:val="21"/>
              </w:rPr>
            </w:pPr>
          </w:p>
        </w:tc>
        <w:tc>
          <w:tcPr>
            <w:tcW w:w="424" w:type="pct"/>
            <w:vMerge w:val="continue"/>
            <w:noWrap w:val="0"/>
            <w:vAlign w:val="center"/>
          </w:tcPr>
          <w:p>
            <w:pPr>
              <w:widowControl/>
              <w:jc w:val="center"/>
              <w:rPr>
                <w:rFonts w:hint="eastAsia" w:ascii="宋体" w:hAnsi="宋体" w:eastAsia="宋体" w:cs="仿宋_GB2312"/>
                <w:kern w:val="0"/>
                <w:sz w:val="21"/>
                <w:lang w:val="en-US" w:eastAsia="zh-CN"/>
              </w:rPr>
            </w:pPr>
          </w:p>
        </w:tc>
        <w:tc>
          <w:tcPr>
            <w:tcW w:w="686" w:type="pct"/>
            <w:vMerge w:val="continue"/>
            <w:noWrap w:val="0"/>
            <w:vAlign w:val="center"/>
          </w:tcPr>
          <w:p>
            <w:pPr>
              <w:widowControl/>
              <w:jc w:val="center"/>
              <w:rPr>
                <w:rFonts w:hint="eastAsia" w:ascii="宋体" w:hAnsi="宋体" w:eastAsia="宋体" w:cs="Times New Roman"/>
                <w:kern w:val="0"/>
                <w:sz w:val="21"/>
                <w:szCs w:val="24"/>
                <w:lang w:val="en-US" w:eastAsia="zh-CN" w:bidi="ar-SA"/>
              </w:rPr>
            </w:pPr>
          </w:p>
        </w:tc>
        <w:tc>
          <w:tcPr>
            <w:tcW w:w="1549" w:type="pct"/>
            <w:gridSpan w:val="3"/>
            <w:noWrap w:val="0"/>
            <w:vAlign w:val="center"/>
          </w:tcPr>
          <w:p>
            <w:pPr>
              <w:widowControl/>
              <w:jc w:val="center"/>
              <w:rPr>
                <w:rFonts w:hint="default"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宣传方式多样性</w:t>
            </w:r>
          </w:p>
        </w:tc>
        <w:tc>
          <w:tcPr>
            <w:tcW w:w="900" w:type="pct"/>
            <w:gridSpan w:val="2"/>
            <w:noWrap w:val="0"/>
            <w:vAlign w:val="center"/>
          </w:tcPr>
          <w:p>
            <w:pPr>
              <w:widowControl/>
              <w:jc w:val="center"/>
              <w:rPr>
                <w:rFonts w:hint="default"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2种以上</w:t>
            </w:r>
          </w:p>
        </w:tc>
        <w:tc>
          <w:tcPr>
            <w:tcW w:w="1071" w:type="pct"/>
            <w:gridSpan w:val="2"/>
            <w:noWrap w:val="0"/>
            <w:vAlign w:val="center"/>
          </w:tcPr>
          <w:p>
            <w:pPr>
              <w:widowControl/>
              <w:jc w:val="center"/>
              <w:rPr>
                <w:rFonts w:hint="default"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3种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widowControl/>
              <w:rPr>
                <w:rFonts w:hint="eastAsia" w:ascii="宋体" w:hAnsi="宋体" w:eastAsia="宋体" w:cs="Times New Roman"/>
                <w:kern w:val="0"/>
                <w:sz w:val="21"/>
              </w:rPr>
            </w:pPr>
          </w:p>
        </w:tc>
        <w:tc>
          <w:tcPr>
            <w:tcW w:w="424" w:type="pct"/>
            <w:vMerge w:val="restart"/>
            <w:noWrap w:val="0"/>
            <w:vAlign w:val="center"/>
          </w:tcPr>
          <w:p>
            <w:pPr>
              <w:widowControl/>
              <w:jc w:val="center"/>
              <w:rPr>
                <w:rFonts w:hint="eastAsia" w:ascii="宋体" w:hAnsi="宋体" w:eastAsia="宋体" w:cs="仿宋_GB2312"/>
                <w:kern w:val="0"/>
                <w:sz w:val="21"/>
                <w:lang w:val="en-US" w:eastAsia="zh-CN"/>
              </w:rPr>
            </w:pPr>
            <w:r>
              <w:rPr>
                <w:rFonts w:hint="eastAsia" w:ascii="宋体" w:hAnsi="宋体" w:eastAsia="宋体" w:cs="仿宋_GB2312"/>
                <w:kern w:val="0"/>
                <w:sz w:val="21"/>
                <w:lang w:val="en-US" w:eastAsia="zh-CN"/>
              </w:rPr>
              <w:t>效果指标</w:t>
            </w:r>
          </w:p>
        </w:tc>
        <w:tc>
          <w:tcPr>
            <w:tcW w:w="686" w:type="pct"/>
            <w:noWrap w:val="0"/>
            <w:vAlign w:val="center"/>
          </w:tcPr>
          <w:p>
            <w:pPr>
              <w:widowControl/>
              <w:jc w:val="center"/>
              <w:rPr>
                <w:rFonts w:hint="default" w:ascii="宋体" w:hAnsi="宋体" w:eastAsia="宋体" w:cs="Times New Roman"/>
                <w:kern w:val="0"/>
                <w:sz w:val="21"/>
                <w:lang w:val="en-US" w:eastAsia="zh-CN"/>
              </w:rPr>
            </w:pPr>
            <w:r>
              <w:rPr>
                <w:rFonts w:hint="eastAsia" w:ascii="宋体" w:hAnsi="宋体" w:eastAsia="宋体" w:cs="Times New Roman"/>
                <w:kern w:val="0"/>
                <w:sz w:val="21"/>
                <w:lang w:val="en-US" w:eastAsia="zh-CN"/>
              </w:rPr>
              <w:t>社会效益指标</w:t>
            </w:r>
          </w:p>
        </w:tc>
        <w:tc>
          <w:tcPr>
            <w:tcW w:w="1549" w:type="pct"/>
            <w:gridSpan w:val="3"/>
            <w:noWrap w:val="0"/>
            <w:vAlign w:val="center"/>
          </w:tcPr>
          <w:p>
            <w:pPr>
              <w:widowControl/>
              <w:jc w:val="center"/>
              <w:rPr>
                <w:rFonts w:hint="eastAsia" w:ascii="宋体" w:hAnsi="宋体" w:eastAsia="宋体" w:cs="仿宋_GB2312"/>
                <w:kern w:val="0"/>
                <w:sz w:val="21"/>
                <w:highlight w:val="none"/>
              </w:rPr>
            </w:pPr>
            <w:r>
              <w:rPr>
                <w:rFonts w:hint="eastAsia" w:ascii="宋体" w:hAnsi="宋体" w:eastAsia="宋体" w:cs="Times New Roman"/>
                <w:kern w:val="0"/>
                <w:sz w:val="21"/>
                <w:highlight w:val="none"/>
                <w:lang w:val="en-US" w:eastAsia="zh-CN"/>
              </w:rPr>
              <w:t>保障红十字会工作顺利开展，更好服务于民（是否）</w:t>
            </w:r>
          </w:p>
        </w:tc>
        <w:tc>
          <w:tcPr>
            <w:tcW w:w="900" w:type="pct"/>
            <w:gridSpan w:val="2"/>
            <w:noWrap w:val="0"/>
            <w:vAlign w:val="center"/>
          </w:tcPr>
          <w:p>
            <w:pPr>
              <w:widowControl/>
              <w:jc w:val="center"/>
              <w:rPr>
                <w:rFonts w:hint="default" w:ascii="宋体" w:hAnsi="宋体" w:eastAsia="宋体" w:cs="仿宋_GB2312"/>
                <w:kern w:val="0"/>
                <w:sz w:val="21"/>
                <w:highlight w:val="none"/>
                <w:lang w:val="en-US" w:eastAsia="zh-CN"/>
              </w:rPr>
            </w:pPr>
            <w:r>
              <w:rPr>
                <w:rFonts w:hint="eastAsia" w:ascii="宋体" w:hAnsi="宋体" w:eastAsia="宋体" w:cs="仿宋_GB2312"/>
                <w:kern w:val="0"/>
                <w:sz w:val="21"/>
                <w:highlight w:val="none"/>
                <w:lang w:val="en-US" w:eastAsia="zh-CN"/>
              </w:rPr>
              <w:t>是</w:t>
            </w:r>
          </w:p>
        </w:tc>
        <w:tc>
          <w:tcPr>
            <w:tcW w:w="1071" w:type="pct"/>
            <w:gridSpan w:val="2"/>
            <w:noWrap w:val="0"/>
            <w:vAlign w:val="center"/>
          </w:tcPr>
          <w:p>
            <w:pPr>
              <w:widowControl/>
              <w:jc w:val="center"/>
              <w:rPr>
                <w:rFonts w:hint="default" w:ascii="宋体" w:hAnsi="宋体" w:eastAsia="宋体" w:cs="仿宋_GB2312"/>
                <w:kern w:val="0"/>
                <w:sz w:val="21"/>
                <w:highlight w:val="none"/>
                <w:lang w:val="en-US" w:eastAsia="zh-CN"/>
              </w:rPr>
            </w:pPr>
            <w:r>
              <w:rPr>
                <w:rFonts w:hint="eastAsia" w:ascii="宋体" w:hAnsi="宋体" w:eastAsia="宋体" w:cs="仿宋_GB2312"/>
                <w:kern w:val="0"/>
                <w:sz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9" w:type="pct"/>
            <w:vMerge w:val="continue"/>
            <w:noWrap w:val="0"/>
            <w:vAlign w:val="center"/>
          </w:tcPr>
          <w:p>
            <w:pPr>
              <w:widowControl/>
              <w:rPr>
                <w:rFonts w:hint="eastAsia" w:ascii="宋体" w:hAnsi="宋体" w:eastAsia="宋体" w:cs="Times New Roman"/>
                <w:kern w:val="0"/>
                <w:sz w:val="21"/>
              </w:rPr>
            </w:pPr>
          </w:p>
        </w:tc>
        <w:tc>
          <w:tcPr>
            <w:tcW w:w="424" w:type="pct"/>
            <w:vMerge w:val="continue"/>
            <w:noWrap w:val="0"/>
            <w:vAlign w:val="center"/>
          </w:tcPr>
          <w:p>
            <w:pPr>
              <w:widowControl/>
              <w:jc w:val="center"/>
              <w:rPr>
                <w:rFonts w:hint="eastAsia" w:ascii="宋体" w:hAnsi="宋体" w:eastAsia="宋体" w:cs="仿宋_GB2312"/>
                <w:kern w:val="0"/>
                <w:sz w:val="21"/>
                <w:lang w:val="en-US" w:eastAsia="zh-CN"/>
              </w:rPr>
            </w:pPr>
          </w:p>
        </w:tc>
        <w:tc>
          <w:tcPr>
            <w:tcW w:w="686" w:type="pct"/>
            <w:noWrap w:val="0"/>
            <w:vAlign w:val="center"/>
          </w:tcPr>
          <w:p>
            <w:pPr>
              <w:widowControl/>
              <w:jc w:val="center"/>
              <w:rPr>
                <w:rFonts w:hint="default" w:ascii="宋体" w:hAnsi="宋体" w:eastAsia="宋体" w:cs="Times New Roman"/>
                <w:kern w:val="0"/>
                <w:sz w:val="21"/>
                <w:lang w:val="en-US" w:eastAsia="zh-CN"/>
              </w:rPr>
            </w:pPr>
            <w:r>
              <w:rPr>
                <w:rFonts w:hint="eastAsia" w:ascii="宋体" w:hAnsi="宋体" w:eastAsia="宋体" w:cs="仿宋_GB2312"/>
                <w:kern w:val="0"/>
                <w:sz w:val="21"/>
                <w:szCs w:val="24"/>
                <w:lang w:val="en-US" w:eastAsia="zh-CN" w:bidi="ar-SA"/>
              </w:rPr>
              <w:t>社会公众或服务对象满意度指标</w:t>
            </w:r>
          </w:p>
        </w:tc>
        <w:tc>
          <w:tcPr>
            <w:tcW w:w="1549" w:type="pct"/>
            <w:gridSpan w:val="3"/>
            <w:noWrap w:val="0"/>
            <w:vAlign w:val="center"/>
          </w:tcPr>
          <w:p>
            <w:pPr>
              <w:widowControl/>
              <w:jc w:val="center"/>
              <w:rPr>
                <w:rFonts w:hint="default" w:ascii="宋体" w:hAnsi="宋体" w:eastAsia="宋体" w:cs="Times New Roman"/>
                <w:kern w:val="0"/>
                <w:sz w:val="21"/>
                <w:highlight w:val="none"/>
                <w:lang w:val="en-US" w:eastAsia="zh-CN"/>
              </w:rPr>
            </w:pPr>
            <w:r>
              <w:rPr>
                <w:rFonts w:hint="eastAsia" w:ascii="宋体" w:hAnsi="宋体" w:eastAsia="宋体" w:cs="Times New Roman"/>
                <w:kern w:val="0"/>
                <w:sz w:val="21"/>
                <w:highlight w:val="none"/>
                <w:lang w:val="en-US" w:eastAsia="zh-CN"/>
              </w:rPr>
              <w:t>社会公众对开展此项工作的满意度</w:t>
            </w:r>
          </w:p>
        </w:tc>
        <w:tc>
          <w:tcPr>
            <w:tcW w:w="900" w:type="pct"/>
            <w:gridSpan w:val="2"/>
            <w:noWrap w:val="0"/>
            <w:vAlign w:val="center"/>
          </w:tcPr>
          <w:p>
            <w:pPr>
              <w:widowControl/>
              <w:jc w:val="center"/>
              <w:rPr>
                <w:rFonts w:hint="default" w:ascii="宋体" w:hAnsi="宋体" w:eastAsia="宋体" w:cs="仿宋_GB2312"/>
                <w:kern w:val="0"/>
                <w:sz w:val="21"/>
                <w:highlight w:val="none"/>
                <w:lang w:val="en-US" w:eastAsia="zh-CN"/>
              </w:rPr>
            </w:pPr>
            <w:r>
              <w:rPr>
                <w:rFonts w:hint="eastAsia" w:ascii="宋体" w:hAnsi="宋体" w:eastAsia="宋体" w:cs="Times New Roman"/>
                <w:kern w:val="0"/>
                <w:sz w:val="21"/>
                <w:highlight w:val="none"/>
                <w:lang w:val="en-US" w:eastAsia="zh-CN"/>
              </w:rPr>
              <w:t>＞90%</w:t>
            </w:r>
          </w:p>
        </w:tc>
        <w:tc>
          <w:tcPr>
            <w:tcW w:w="1071" w:type="pct"/>
            <w:gridSpan w:val="2"/>
            <w:noWrap w:val="0"/>
            <w:vAlign w:val="center"/>
          </w:tcPr>
          <w:p>
            <w:pPr>
              <w:widowControl/>
              <w:jc w:val="center"/>
              <w:rPr>
                <w:rFonts w:hint="default" w:ascii="宋体" w:hAnsi="宋体" w:eastAsia="宋体" w:cs="仿宋_GB2312"/>
                <w:kern w:val="0"/>
                <w:sz w:val="21"/>
                <w:highlight w:val="none"/>
                <w:lang w:val="en-US" w:eastAsia="zh-CN"/>
              </w:rPr>
            </w:pPr>
            <w:r>
              <w:rPr>
                <w:rFonts w:hint="eastAsia" w:ascii="宋体" w:hAnsi="宋体" w:eastAsia="宋体" w:cs="仿宋_GB2312"/>
                <w:kern w:val="0"/>
                <w:sz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93" w:type="pct"/>
            <w:gridSpan w:val="2"/>
            <w:noWrap w:val="0"/>
            <w:vAlign w:val="center"/>
          </w:tcPr>
          <w:p>
            <w:pPr>
              <w:widowControl/>
              <w:jc w:val="center"/>
              <w:rPr>
                <w:rFonts w:ascii="宋体" w:hAnsi="宋体" w:eastAsia="宋体" w:cs="Times New Roman"/>
                <w:kern w:val="0"/>
                <w:sz w:val="21"/>
              </w:rPr>
            </w:pPr>
            <w:r>
              <w:rPr>
                <w:rFonts w:hint="eastAsia" w:ascii="宋体" w:hAnsi="宋体" w:eastAsia="宋体" w:cs="仿宋_GB2312"/>
                <w:kern w:val="0"/>
                <w:sz w:val="21"/>
              </w:rPr>
              <w:t>偏差大或</w:t>
            </w:r>
          </w:p>
          <w:p>
            <w:pPr>
              <w:widowControl/>
              <w:jc w:val="center"/>
              <w:rPr>
                <w:rFonts w:ascii="宋体" w:hAnsi="宋体" w:eastAsia="宋体" w:cs="Times New Roman"/>
                <w:kern w:val="0"/>
                <w:sz w:val="21"/>
              </w:rPr>
            </w:pPr>
            <w:r>
              <w:rPr>
                <w:rFonts w:hint="eastAsia" w:ascii="宋体" w:hAnsi="宋体" w:eastAsia="宋体" w:cs="仿宋_GB2312"/>
                <w:kern w:val="0"/>
                <w:sz w:val="21"/>
              </w:rPr>
              <w:t>目标未完成</w:t>
            </w:r>
          </w:p>
          <w:p>
            <w:pPr>
              <w:widowControl/>
              <w:jc w:val="center"/>
              <w:rPr>
                <w:rFonts w:ascii="宋体" w:hAnsi="宋体" w:eastAsia="宋体" w:cs="Times New Roman"/>
                <w:kern w:val="0"/>
                <w:sz w:val="21"/>
              </w:rPr>
            </w:pPr>
            <w:r>
              <w:rPr>
                <w:rFonts w:hint="eastAsia" w:ascii="宋体" w:hAnsi="宋体" w:eastAsia="宋体" w:cs="仿宋_GB2312"/>
                <w:kern w:val="0"/>
                <w:sz w:val="21"/>
              </w:rPr>
              <w:t>原因分析</w:t>
            </w:r>
          </w:p>
        </w:tc>
        <w:tc>
          <w:tcPr>
            <w:tcW w:w="4206" w:type="pct"/>
            <w:gridSpan w:val="8"/>
            <w:noWrap w:val="0"/>
            <w:vAlign w:val="center"/>
          </w:tcPr>
          <w:p>
            <w:pPr>
              <w:widowControl/>
              <w:jc w:val="left"/>
              <w:rPr>
                <w:rFonts w:hint="eastAsia" w:ascii="宋体" w:hAnsi="宋体" w:eastAsia="宋体" w:cs="Times New Roman"/>
                <w:kern w:val="0"/>
                <w:sz w:val="21"/>
                <w:lang w:val="en-US" w:eastAsia="zh-CN"/>
              </w:rPr>
            </w:pPr>
            <w:r>
              <w:rPr>
                <w:rFonts w:hint="eastAsia" w:ascii="宋体" w:hAnsi="宋体" w:eastAsia="宋体" w:cs="Times New Roman"/>
                <w:kern w:val="0"/>
                <w:sz w:val="21"/>
                <w:lang w:val="en-US" w:eastAsia="zh-CN"/>
              </w:rPr>
              <w:t>对资金支出科目预计不充分，出现有的科目支出不足，有的科目结余。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93" w:type="pct"/>
            <w:gridSpan w:val="2"/>
            <w:noWrap w:val="0"/>
            <w:vAlign w:val="center"/>
          </w:tcPr>
          <w:p>
            <w:pPr>
              <w:widowControl/>
              <w:jc w:val="center"/>
              <w:rPr>
                <w:rFonts w:ascii="宋体" w:hAnsi="宋体" w:eastAsia="宋体" w:cs="Times New Roman"/>
                <w:kern w:val="0"/>
                <w:sz w:val="21"/>
              </w:rPr>
            </w:pPr>
            <w:r>
              <w:rPr>
                <w:rFonts w:hint="eastAsia" w:ascii="宋体" w:hAnsi="宋体" w:eastAsia="宋体" w:cs="仿宋_GB2312"/>
                <w:kern w:val="0"/>
                <w:sz w:val="21"/>
              </w:rPr>
              <w:t>改进措施及</w:t>
            </w:r>
          </w:p>
          <w:p>
            <w:pPr>
              <w:widowControl/>
              <w:jc w:val="center"/>
              <w:rPr>
                <w:rFonts w:ascii="宋体" w:hAnsi="宋体" w:eastAsia="宋体" w:cs="Times New Roman"/>
                <w:kern w:val="0"/>
                <w:sz w:val="21"/>
              </w:rPr>
            </w:pPr>
            <w:r>
              <w:rPr>
                <w:rFonts w:hint="eastAsia" w:ascii="宋体" w:hAnsi="宋体" w:eastAsia="宋体" w:cs="仿宋_GB2312"/>
                <w:kern w:val="0"/>
                <w:sz w:val="21"/>
              </w:rPr>
              <w:t>结果应用方案</w:t>
            </w:r>
          </w:p>
        </w:tc>
        <w:tc>
          <w:tcPr>
            <w:tcW w:w="4206" w:type="pct"/>
            <w:gridSpan w:val="8"/>
            <w:noWrap w:val="0"/>
            <w:vAlign w:val="center"/>
          </w:tcPr>
          <w:p>
            <w:pPr>
              <w:widowControl/>
              <w:jc w:val="left"/>
              <w:rPr>
                <w:rFonts w:hint="eastAsia" w:ascii="宋体" w:hAnsi="宋体" w:eastAsia="宋体" w:cs="Times New Roman"/>
                <w:kern w:val="0"/>
                <w:sz w:val="21"/>
                <w:lang w:val="en-US" w:eastAsia="zh-CN"/>
              </w:rPr>
            </w:pPr>
            <w:r>
              <w:rPr>
                <w:rFonts w:hint="eastAsia" w:ascii="宋体" w:hAnsi="宋体" w:eastAsia="宋体" w:cs="Times New Roman"/>
                <w:kern w:val="0"/>
                <w:sz w:val="21"/>
                <w:lang w:val="en-US" w:eastAsia="zh-CN"/>
              </w:rPr>
              <w:t>1.细化预算编制工作，认真做好预算的编制。进一步加强单位内部机构的预算管理意识，严格按照预算编制的相关制度和要求，公用经费根据单位的年度工作重点和项目专项工作规划，本着“勤俭节约、保障运转”的原则进行预算的编制；编制范围尽可能的全面，不漏项；杜绝预算编制粗放、拍脑袋现象的发生，进一步提高预算编制的科学性、合理性、严谨性和可控性。</w:t>
            </w:r>
          </w:p>
          <w:p>
            <w:pPr>
              <w:widowControl/>
              <w:jc w:val="left"/>
              <w:rPr>
                <w:rFonts w:hint="eastAsia" w:ascii="宋体" w:hAnsi="宋体" w:eastAsia="宋体" w:cs="Times New Roman"/>
                <w:kern w:val="0"/>
                <w:sz w:val="21"/>
                <w:lang w:val="en-US" w:eastAsia="zh-CN"/>
              </w:rPr>
            </w:pPr>
            <w:r>
              <w:rPr>
                <w:rFonts w:hint="eastAsia" w:ascii="宋体" w:hAnsi="宋体" w:eastAsia="宋体" w:cs="Times New Roman"/>
                <w:kern w:val="0"/>
                <w:sz w:val="21"/>
                <w:lang w:val="en-US" w:eastAsia="zh-CN"/>
              </w:rPr>
              <w:t>2.遵循预算管理办法，对于年度无法预计的相关工作所需费用和结余资金确保资金严格按照预算专项资金使用程序申报及使用，按照预算项目和使用用途执行，杜绝费用项目之间调剂使用现象的发生。</w:t>
            </w:r>
          </w:p>
          <w:p>
            <w:pPr>
              <w:widowControl/>
              <w:jc w:val="left"/>
              <w:rPr>
                <w:rFonts w:hint="eastAsia" w:ascii="宋体" w:hAnsi="宋体" w:eastAsia="宋体" w:cs="Times New Roman"/>
                <w:kern w:val="0"/>
                <w:sz w:val="21"/>
                <w:lang w:val="en-US" w:eastAsia="zh-CN"/>
              </w:rPr>
            </w:pPr>
            <w:r>
              <w:rPr>
                <w:rFonts w:hint="eastAsia" w:ascii="宋体" w:hAnsi="宋体" w:eastAsia="宋体" w:cs="Times New Roman"/>
                <w:kern w:val="0"/>
                <w:sz w:val="21"/>
                <w:lang w:val="en-US" w:eastAsia="zh-CN"/>
              </w:rPr>
              <w:t>3.预算财务分析常态化。定期做好支出预算财务分析，及时对费用预算执行情况进行通报和预警，定期对下属预算单位的预算执行情况进行检查，做好部门整体支出预算评价工作。</w:t>
            </w:r>
          </w:p>
        </w:tc>
      </w:tr>
    </w:tbl>
    <w:p>
      <w:pPr>
        <w:widowControl/>
        <w:spacing w:line="400" w:lineRule="exact"/>
        <w:rPr>
          <w:rFonts w:ascii="宋体" w:hAnsi="宋体" w:eastAsia="宋体" w:cs="Times New Roman"/>
          <w:kern w:val="0"/>
          <w:sz w:val="21"/>
        </w:rPr>
      </w:pPr>
      <w:r>
        <w:rPr>
          <w:rFonts w:hint="eastAsia" w:ascii="宋体" w:hAnsi="宋体" w:eastAsia="宋体" w:cs="仿宋_GB2312"/>
          <w:kern w:val="0"/>
          <w:sz w:val="21"/>
        </w:rPr>
        <w:t>备注：</w:t>
      </w:r>
    </w:p>
    <w:p>
      <w:pPr>
        <w:widowControl/>
        <w:spacing w:line="400" w:lineRule="exact"/>
        <w:ind w:firstLine="420" w:firstLineChars="200"/>
        <w:rPr>
          <w:rFonts w:ascii="宋体" w:hAnsi="宋体" w:eastAsia="宋体" w:cs="Times New Roman"/>
          <w:kern w:val="0"/>
          <w:sz w:val="21"/>
        </w:rPr>
      </w:pPr>
      <w:r>
        <w:rPr>
          <w:rFonts w:ascii="宋体" w:hAnsi="宋体" w:eastAsia="宋体" w:cs="仿宋_GB2312"/>
          <w:kern w:val="0"/>
          <w:sz w:val="21"/>
        </w:rPr>
        <w:t>1.</w:t>
      </w:r>
      <w:r>
        <w:rPr>
          <w:rFonts w:hint="eastAsia" w:ascii="宋体" w:hAnsi="宋体" w:eastAsia="宋体" w:cs="仿宋_GB2312"/>
          <w:kern w:val="0"/>
          <w:sz w:val="21"/>
        </w:rPr>
        <w:t>预算执行情况口径：预算数为年初预算总额（包括上年结余结转），执行数为调整后单位实际支出数。</w:t>
      </w:r>
    </w:p>
    <w:p>
      <w:pPr>
        <w:widowControl/>
        <w:spacing w:line="400" w:lineRule="exact"/>
        <w:ind w:firstLine="420" w:firstLineChars="200"/>
        <w:rPr>
          <w:rFonts w:ascii="宋体" w:hAnsi="宋体" w:eastAsia="宋体" w:cs="Times New Roman"/>
          <w:kern w:val="0"/>
          <w:sz w:val="21"/>
        </w:rPr>
      </w:pPr>
      <w:r>
        <w:rPr>
          <w:rFonts w:ascii="宋体" w:hAnsi="宋体" w:eastAsia="宋体" w:cs="仿宋_GB2312"/>
          <w:kern w:val="0"/>
          <w:sz w:val="21"/>
        </w:rPr>
        <w:t>2.</w:t>
      </w:r>
      <w:r>
        <w:rPr>
          <w:rFonts w:hint="eastAsia" w:ascii="宋体" w:hAnsi="宋体" w:eastAsia="宋体" w:cs="仿宋_GB2312"/>
          <w:kern w:val="0"/>
          <w:sz w:val="21"/>
        </w:rPr>
        <w:t>定性指标分档原则：分为达成预期指标、部分达成预期指标并具有一定效果、未达成预期指标且效果较差三档。选择部分达成或未达成的，必须说明原因和改进措施。</w:t>
      </w:r>
    </w:p>
    <w:p>
      <w:pPr>
        <w:rPr>
          <w:rFonts w:ascii="Calibri" w:hAnsi="Calibri" w:eastAsia="宋体" w:cs="Times New Roman"/>
          <w:sz w:val="21"/>
        </w:rPr>
      </w:pPr>
      <w:r>
        <w:rPr>
          <w:rFonts w:ascii="宋体" w:hAnsi="宋体" w:eastAsia="宋体" w:cs="仿宋_GB2312"/>
          <w:kern w:val="0"/>
          <w:sz w:val="21"/>
        </w:rPr>
        <w:t>3.</w:t>
      </w:r>
      <w:r>
        <w:rPr>
          <w:rFonts w:hint="eastAsia" w:ascii="宋体" w:hAnsi="宋体" w:eastAsia="宋体" w:cs="仿宋_GB2312"/>
          <w:kern w:val="0"/>
          <w:sz w:val="21"/>
        </w:rPr>
        <w:t>基于经济性和必要性等因素考虑，满意度指标难以统计的，在自评时可不作为必评指标。</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rPr>
      </w:pPr>
    </w:p>
    <w:sectPr>
      <w:footerReference r:id="rId3" w:type="default"/>
      <w:pgSz w:w="11906" w:h="16838"/>
      <w:pgMar w:top="2154" w:right="1417" w:bottom="204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FB7DF"/>
    <w:multiLevelType w:val="singleLevel"/>
    <w:tmpl w:val="EFDFB7DF"/>
    <w:lvl w:ilvl="0" w:tentative="0">
      <w:start w:val="2"/>
      <w:numFmt w:val="chineseCounting"/>
      <w:suff w:val="nothing"/>
      <w:lvlText w:val="（%1）"/>
      <w:lvlJc w:val="left"/>
      <w:rPr>
        <w:rFonts w:hint="eastAsia"/>
      </w:rPr>
    </w:lvl>
  </w:abstractNum>
  <w:abstractNum w:abstractNumId="1">
    <w:nsid w:val="17BFE70C"/>
    <w:multiLevelType w:val="singleLevel"/>
    <w:tmpl w:val="17BFE70C"/>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NGU0ZTI4OTc2NzBhMTg2ZWU5NjIzOTI2Yjk2ZTYifQ=="/>
  </w:docVars>
  <w:rsids>
    <w:rsidRoot w:val="2CC47130"/>
    <w:rsid w:val="0A544CC8"/>
    <w:rsid w:val="0FEFA1E6"/>
    <w:rsid w:val="21A954A2"/>
    <w:rsid w:val="2CC47130"/>
    <w:rsid w:val="31EB39D8"/>
    <w:rsid w:val="4FE65AD4"/>
    <w:rsid w:val="637F58D0"/>
    <w:rsid w:val="70753FA4"/>
    <w:rsid w:val="78F72616"/>
    <w:rsid w:val="7BDFCD96"/>
    <w:rsid w:val="7BFBF261"/>
    <w:rsid w:val="7E5F6672"/>
    <w:rsid w:val="7F2DFBE2"/>
    <w:rsid w:val="BD7FA11D"/>
    <w:rsid w:val="E95D380F"/>
    <w:rsid w:val="FB7F461D"/>
    <w:rsid w:val="FBFE7AE6"/>
    <w:rsid w:val="FF5F5E9E"/>
    <w:rsid w:val="FF6E195B"/>
    <w:rsid w:val="FFEB9867"/>
    <w:rsid w:val="FFFD0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6"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6"/>
    <w:rPr>
      <w:rFonts w:ascii="Times New Roman" w:hAnsi="Times New Roman" w:eastAsia="Times New Roman" w:cs="Times New Roman"/>
      <w:lang w:val="zh-CN"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rPr>
      <w:rFonts w:eastAsia="仿宋_GB2312"/>
      <w:sz w:val="32"/>
      <w:szCs w:val="20"/>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420" w:firstLineChars="200"/>
    </w:pPr>
    <w:rPr>
      <w:rFonts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70</TotalTime>
  <ScaleCrop>false</ScaleCrop>
  <LinksUpToDate>false</LinksUpToDate>
  <CharactersWithSpaces>0</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2024-03-30T07:13:00Z</dcterms:created>
  <dc:creator>张雅玲</dc:creator>
  <cp:lastModifiedBy>uos</cp:lastModifiedBy>
  <dcterms:modified xsi:type="dcterms:W3CDTF">2025-05-20T09:55:12Z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5033B4D37785D1C5B1EBED671D55B4AF</vt:lpwstr>
  </property>
</Properties>
</file>