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CA" w:rsidRPr="007C6A3C" w:rsidRDefault="007C6A3C" w:rsidP="007C6A3C">
      <w:pPr>
        <w:pStyle w:val="1"/>
        <w:snapToGrid w:val="0"/>
        <w:spacing w:before="120" w:after="240" w:line="640" w:lineRule="atLeast"/>
        <w:jc w:val="center"/>
        <w:rPr>
          <w:rFonts w:ascii="黑体" w:eastAsia="黑体" w:hint="eastAsia"/>
          <w:b w:val="0"/>
          <w:szCs w:val="44"/>
        </w:rPr>
      </w:pPr>
      <w:r>
        <w:rPr>
          <w:rFonts w:ascii="方正小标宋简体" w:eastAsia="方正小标宋简体" w:cs="方正小标宋简体" w:hint="eastAsia"/>
          <w:b w:val="0"/>
          <w:kern w:val="2"/>
          <w:sz w:val="30"/>
          <w:szCs w:val="30"/>
        </w:rPr>
        <w:t>武汉市</w:t>
      </w:r>
      <w:proofErr w:type="gramStart"/>
      <w:r>
        <w:rPr>
          <w:rFonts w:ascii="方正小标宋简体" w:eastAsia="方正小标宋简体" w:cs="方正小标宋简体" w:hint="eastAsia"/>
          <w:b w:val="0"/>
          <w:kern w:val="2"/>
          <w:sz w:val="30"/>
          <w:szCs w:val="30"/>
        </w:rPr>
        <w:t>蔡甸</w:t>
      </w:r>
      <w:proofErr w:type="gramEnd"/>
      <w:r>
        <w:rPr>
          <w:rFonts w:ascii="方正小标宋简体" w:eastAsia="方正小标宋简体" w:cs="方正小标宋简体" w:hint="eastAsia"/>
          <w:b w:val="0"/>
          <w:kern w:val="2"/>
          <w:sz w:val="30"/>
          <w:szCs w:val="30"/>
        </w:rPr>
        <w:t>区</w:t>
      </w:r>
      <w:r>
        <w:rPr>
          <w:rFonts w:ascii="方正小标宋简体" w:eastAsia="方正小标宋简体" w:cs="方正小标宋简体" w:hint="eastAsia"/>
          <w:b w:val="0"/>
          <w:kern w:val="2"/>
          <w:sz w:val="30"/>
          <w:szCs w:val="30"/>
        </w:rPr>
        <w:t>红</w:t>
      </w:r>
      <w:r>
        <w:rPr>
          <w:rFonts w:ascii="方正小标宋简体" w:eastAsia="方正小标宋简体" w:cs="方正小标宋简体"/>
          <w:b w:val="0"/>
          <w:kern w:val="2"/>
          <w:sz w:val="30"/>
          <w:szCs w:val="30"/>
        </w:rPr>
        <w:t>十字会</w:t>
      </w:r>
      <w:r>
        <w:rPr>
          <w:rFonts w:ascii="方正小标宋简体" w:eastAsia="方正小标宋简体" w:cs="方正小标宋简体" w:hint="eastAsia"/>
          <w:b w:val="0"/>
          <w:kern w:val="2"/>
          <w:sz w:val="30"/>
          <w:szCs w:val="30"/>
        </w:rPr>
        <w:t>2025年项目绩效目标表</w:t>
      </w:r>
    </w:p>
    <w:p w:rsidR="001327CA" w:rsidRDefault="00BA7B77" w:rsidP="007C6A3C">
      <w:pPr>
        <w:jc w:val="right"/>
      </w:pPr>
      <w:r>
        <w:rPr>
          <w:rFonts w:ascii="仿宋_GB2312" w:eastAsia="仿宋_GB2312" w:hAnsi="仿宋_GB2312" w:cs="仿宋_GB2312" w:hint="eastAsia"/>
        </w:rPr>
        <w:t>资金</w:t>
      </w:r>
      <w:r w:rsidR="00AA4062">
        <w:rPr>
          <w:rFonts w:ascii="仿宋_GB2312" w:eastAsia="仿宋_GB2312" w:hAnsi="仿宋_GB2312" w:cs="仿宋_GB2312" w:hint="eastAsia"/>
        </w:rPr>
        <w:t>单位：万元</w:t>
      </w:r>
    </w:p>
    <w:tbl>
      <w:tblPr>
        <w:tblW w:w="8844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146"/>
        <w:gridCol w:w="1147"/>
        <w:gridCol w:w="1681"/>
        <w:gridCol w:w="903"/>
        <w:gridCol w:w="12"/>
        <w:gridCol w:w="885"/>
        <w:gridCol w:w="909"/>
        <w:gridCol w:w="1015"/>
      </w:tblGrid>
      <w:tr w:rsidR="001327CA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红十字会业务工作经费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42011424105T000000101</w:t>
            </w:r>
          </w:p>
        </w:tc>
      </w:tr>
      <w:tr w:rsidR="001327CA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蔡甸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区红十字会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蔡甸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区红十字会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7CA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陈洁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84946175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7CA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持续性项目</w:t>
            </w:r>
          </w:p>
        </w:tc>
      </w:tr>
      <w:tr w:rsidR="001327CA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日常运转类</w:t>
            </w:r>
          </w:p>
        </w:tc>
      </w:tr>
      <w:tr w:rsidR="001327CA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7CA">
        <w:trPr>
          <w:trHeight w:val="674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《中华人民共和国红十字会法》《中国红十字会章程》《湖北省红十字会条例》《武汉市实施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中华人民共和国红十字会法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&gt;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办法》《武汉市人道事业发展总体思路和框架设想》《湖北省人体器官捐献条例》《武汉市遗体捐献条例》等法规。</w:t>
            </w:r>
          </w:p>
        </w:tc>
      </w:tr>
      <w:tr w:rsidR="001327CA">
        <w:trPr>
          <w:trHeight w:val="68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红十字基层组织建设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1.</w:t>
            </w:r>
            <w:r w:rsidR="00E85C8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万元。市级下达目标，打造具有红十字行色的基层组织，成立志愿服务队。创建红十字青少年工作基地，发挥学校红十字会组织，开展系列红十字活动。</w:t>
            </w:r>
          </w:p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救护培训项目</w:t>
            </w:r>
            <w:r w:rsidRPr="00E85C8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</w:t>
            </w:r>
            <w:r w:rsidR="00E85C8A" w:rsidRPr="00E85C8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.</w:t>
            </w:r>
            <w:r w:rsidR="00E85C8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万元。市级下达目标，初级救护员培训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1500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人，普及救护培训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2500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人，课时费及租车费用，培训用培训手册、急救包、呼吸膜等其他易耗品。</w:t>
            </w:r>
          </w:p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提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质扩面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应急救护师资队伍</w:t>
            </w:r>
            <w:r w:rsidR="00E85C8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万元。开展应急救护师资培训。</w:t>
            </w:r>
          </w:p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志愿服务项目</w:t>
            </w:r>
            <w:r w:rsidR="00E85C8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万元。志愿服务活动达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次以上，参加人数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人次，新增注册志愿者人数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人以上，志愿服务活动交通费、工作餐、购置志愿者马夹。</w:t>
            </w:r>
          </w:p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“三救三献”宣传工作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  <w:r w:rsidR="00E85C8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.2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万元。主要用于重大疾病救助、无偿献血、无偿献造血干细胞、遗体捐献、人体器官捐献的宣传，积极参与无偿献血宣传、志愿服务保障等工作。</w:t>
            </w:r>
          </w:p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救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助项目</w:t>
            </w:r>
            <w:r w:rsidR="00E85C8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0.8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万元。主要用于救助资金、失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智老人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救助、组织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3.26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纪念日配送护理用品、对遗体捐献困难家庭慰问等救助项目。</w:t>
            </w:r>
          </w:p>
        </w:tc>
      </w:tr>
      <w:tr w:rsidR="001327CA">
        <w:trPr>
          <w:trHeight w:val="61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BA3F6C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BA3F6C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327CA">
        <w:trPr>
          <w:trHeight w:val="102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1327CA">
        <w:trPr>
          <w:trHeight w:val="450"/>
        </w:trPr>
        <w:tc>
          <w:tcPr>
            <w:tcW w:w="22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1327CA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962ED3">
            <w:pPr>
              <w:widowControl/>
              <w:snapToGrid w:val="0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327CA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962ED3">
            <w:pPr>
              <w:widowControl/>
              <w:snapToGrid w:val="0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327CA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其中：申请当年预算拨款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962ED3">
            <w:pPr>
              <w:widowControl/>
              <w:snapToGrid w:val="0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327CA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right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7CA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327CA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7CA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其中：使用上年度财政拨款结转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right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7CA">
        <w:trPr>
          <w:trHeight w:val="450"/>
        </w:trPr>
        <w:tc>
          <w:tcPr>
            <w:tcW w:w="88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 w:rsidR="001327CA">
        <w:trPr>
          <w:trHeight w:val="66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327CA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红十字基层组织建设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红十字基层组织建设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其他商品服务支出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 w:rsidP="00325C9B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1.</w:t>
            </w:r>
            <w:r w:rsidR="00325C9B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个街道乡（开发区）打造红十字特色基层组织，社区志愿服务队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0.7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万元。创建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个学校青少年工作基地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0.5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万元。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7CA">
        <w:trPr>
          <w:trHeight w:val="180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救护培训项目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应急救护培训、应急救援培训及演练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325C9B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4</w:t>
            </w:r>
            <w:r w:rsidR="00AA406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.5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初级救护员培训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1500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人，普及救护培训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2500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人，预计救护员培训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70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场，应急救援培训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场。按每场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30-50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场次，每场教学需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名主教，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2-3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名副教，按每场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600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元授课课时费及相关租车、培训手册等费用测算。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7CA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志愿服务项目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开展志愿服务活动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其他商品服务支出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325C9B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开展志愿服务活动交通费、误餐费、志愿者培训场租费、制作志愿服务马夹、队旗等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7CA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宣传费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宣传活动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  <w:r w:rsidR="00325C9B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.2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制作宣传展板、横幅、宣传手册、表格印刷等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327CA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救助项目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慰问费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其他商品服务支出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 w:rsidP="00325C9B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0.</w:t>
            </w:r>
            <w:r w:rsidR="00325C9B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救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助资金、失智老人、高龄老人配送护理用品、慰问品，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3.26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纪念日活动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对遗体捐献困难家庭慰问。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327CA">
        <w:trPr>
          <w:trHeight w:val="590"/>
        </w:trPr>
        <w:tc>
          <w:tcPr>
            <w:tcW w:w="88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项目采购</w:t>
            </w:r>
          </w:p>
        </w:tc>
      </w:tr>
      <w:tr w:rsidR="001327CA">
        <w:trPr>
          <w:trHeight w:val="45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37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</w:tr>
      <w:tr w:rsidR="001327C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righ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7C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其他商品服务支出</w:t>
            </w: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7CA">
        <w:trPr>
          <w:trHeight w:val="435"/>
        </w:trPr>
        <w:tc>
          <w:tcPr>
            <w:tcW w:w="88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 w:rsidR="001327C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6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27CA" w:rsidRDefault="00AA4062">
            <w:pPr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目标说明</w:t>
            </w:r>
          </w:p>
        </w:tc>
      </w:tr>
      <w:tr w:rsidR="001327C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ind w:firstLineChars="100" w:firstLine="240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加强应急救护服务体系建设</w:t>
            </w:r>
          </w:p>
        </w:tc>
        <w:tc>
          <w:tcPr>
            <w:tcW w:w="6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开展应急救护培训活动，提升应急救护培训标准化、专化业水平</w:t>
            </w:r>
          </w:p>
        </w:tc>
      </w:tr>
      <w:tr w:rsidR="001327CA">
        <w:trPr>
          <w:trHeight w:val="71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ind w:firstLineChars="100" w:firstLine="240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人道救助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助力保障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民生</w:t>
            </w:r>
          </w:p>
        </w:tc>
        <w:tc>
          <w:tcPr>
            <w:tcW w:w="6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壮大人道救助项目实力，重点关爱社会最易受损弱势群体</w:t>
            </w:r>
          </w:p>
        </w:tc>
      </w:tr>
      <w:tr w:rsidR="001327C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加强“三献”服务体系建设</w:t>
            </w:r>
          </w:p>
        </w:tc>
        <w:tc>
          <w:tcPr>
            <w:tcW w:w="6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加强造血干细胞捐献宣传倡导，健全遗体器官捐献工作机制，加强遗体器官捐献知识宣传普及，积极参与无偿献血宣传。</w:t>
            </w:r>
          </w:p>
        </w:tc>
      </w:tr>
      <w:tr w:rsidR="001327C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加强红十字志愿服务体系建设</w:t>
            </w:r>
          </w:p>
        </w:tc>
        <w:tc>
          <w:tcPr>
            <w:tcW w:w="6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着力推动红十字志愿服务组织专业化发展，开展红十字人道服务参与城乡社区治理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1327C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加强应急救援能力建设</w:t>
            </w:r>
          </w:p>
        </w:tc>
        <w:tc>
          <w:tcPr>
            <w:tcW w:w="6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加强应急救援工作制度化、规范化、信息化建设，建立健全科学、高效、专业的红十字应急救援机制</w:t>
            </w:r>
          </w:p>
        </w:tc>
      </w:tr>
      <w:tr w:rsidR="001327CA">
        <w:trPr>
          <w:trHeight w:val="435"/>
        </w:trPr>
        <w:tc>
          <w:tcPr>
            <w:tcW w:w="88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 w:rsidR="001327CA">
        <w:trPr>
          <w:trHeight w:val="3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 w:rsidR="001327CA">
        <w:trPr>
          <w:trHeight w:val="81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ind w:leftChars="114" w:left="239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长期绩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效指标</w:t>
            </w:r>
            <w:proofErr w:type="gramEnd"/>
          </w:p>
        </w:tc>
        <w:tc>
          <w:tcPr>
            <w:tcW w:w="1146" w:type="dxa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ind w:left="240" w:hangingChars="100" w:hanging="24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产出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救护普及培训人次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2500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长期规划</w:t>
            </w:r>
          </w:p>
        </w:tc>
      </w:tr>
      <w:tr w:rsidR="001327CA">
        <w:trPr>
          <w:trHeight w:val="390"/>
        </w:trPr>
        <w:tc>
          <w:tcPr>
            <w:tcW w:w="11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应急救护员培训人数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长期规划</w:t>
            </w:r>
          </w:p>
        </w:tc>
      </w:tr>
      <w:tr w:rsidR="001327CA">
        <w:trPr>
          <w:trHeight w:val="39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人均培训成本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600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场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长期规划</w:t>
            </w:r>
          </w:p>
        </w:tc>
      </w:tr>
      <w:tr w:rsidR="001327CA">
        <w:trPr>
          <w:trHeight w:val="39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组织志愿服务活动次数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次以上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长期规划</w:t>
            </w:r>
          </w:p>
        </w:tc>
      </w:tr>
      <w:tr w:rsidR="001327CA">
        <w:trPr>
          <w:trHeight w:val="39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新增会员、志愿者人数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700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ind w:firstLineChars="100" w:firstLine="24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长期规划</w:t>
            </w:r>
          </w:p>
        </w:tc>
      </w:tr>
      <w:tr w:rsidR="001327CA">
        <w:trPr>
          <w:trHeight w:val="39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实族失智老人</w:t>
            </w:r>
            <w:proofErr w:type="gramEnd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关爱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人以上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ind w:firstLineChars="100" w:firstLine="24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长期规划</w:t>
            </w:r>
          </w:p>
        </w:tc>
      </w:tr>
      <w:tr w:rsidR="001327CA">
        <w:trPr>
          <w:trHeight w:val="39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实现遗体捐献登记人数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人以上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ind w:firstLineChars="100" w:firstLine="24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长期规划</w:t>
            </w:r>
          </w:p>
        </w:tc>
      </w:tr>
      <w:tr w:rsidR="001327CA">
        <w:trPr>
          <w:trHeight w:val="365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参与志愿服务活动志愿组织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ind w:firstLineChars="100" w:firstLine="24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长期规划</w:t>
            </w:r>
          </w:p>
        </w:tc>
      </w:tr>
      <w:tr w:rsidR="001327CA">
        <w:trPr>
          <w:trHeight w:val="39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“三献”服务宣传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ind w:firstLineChars="100" w:firstLine="24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长期规划</w:t>
            </w:r>
          </w:p>
        </w:tc>
      </w:tr>
      <w:tr w:rsidR="001327CA">
        <w:trPr>
          <w:trHeight w:val="39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项目预期服务对象对项目实施的满意程度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90%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ind w:firstLineChars="100" w:firstLine="24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同期对比</w:t>
            </w:r>
          </w:p>
        </w:tc>
      </w:tr>
      <w:tr w:rsidR="001327CA">
        <w:trPr>
          <w:trHeight w:val="39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327CA">
        <w:trPr>
          <w:trHeight w:val="390"/>
        </w:trPr>
        <w:tc>
          <w:tcPr>
            <w:tcW w:w="88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</w:tr>
      <w:tr w:rsidR="001327CA">
        <w:trPr>
          <w:trHeight w:val="485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CA" w:rsidRDefault="00AA4062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目标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CA" w:rsidRDefault="00AA4062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一级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CA" w:rsidRDefault="00AA4062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二级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CA" w:rsidRDefault="00AA4062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 w:rsidR="001327CA">
        <w:trPr>
          <w:trHeight w:val="45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预计当年实现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327CA">
        <w:trPr>
          <w:trHeight w:val="45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CA" w:rsidRDefault="00AA4062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CA" w:rsidRDefault="00AA4062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CA" w:rsidRDefault="00AA4062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CA" w:rsidRDefault="00AA4062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组织志愿服务活动次数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次以上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ind w:firstLineChars="100" w:firstLine="24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次以上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ind w:firstLineChars="100" w:firstLine="24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次以上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次以上</w:t>
            </w:r>
          </w:p>
        </w:tc>
      </w:tr>
      <w:tr w:rsidR="001327CA">
        <w:trPr>
          <w:trHeight w:val="45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327CA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新增会员、志愿者人数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人以上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300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人以上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人以上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年度计划</w:t>
            </w:r>
          </w:p>
        </w:tc>
      </w:tr>
      <w:tr w:rsidR="001327CA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实现遗体捐献登记人数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人以上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人以上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人以上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年度计划</w:t>
            </w:r>
          </w:p>
        </w:tc>
      </w:tr>
      <w:tr w:rsidR="001327CA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参与志愿服务活动志愿者人数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年度计划</w:t>
            </w:r>
          </w:p>
        </w:tc>
      </w:tr>
      <w:tr w:rsidR="001327CA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“三献”服务宣传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≥计划次数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≥计划次数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≥计划次数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年度计划</w:t>
            </w:r>
          </w:p>
        </w:tc>
      </w:tr>
      <w:tr w:rsidR="001327CA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项目预期服务对象对项目实施的满意程序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90%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90%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90%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同期对比</w:t>
            </w:r>
          </w:p>
        </w:tc>
      </w:tr>
      <w:tr w:rsidR="001327CA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327CA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1327CA" w:rsidRDefault="001327CA"/>
    <w:p w:rsidR="001327CA" w:rsidRDefault="001327CA"/>
    <w:p w:rsidR="001327CA" w:rsidRDefault="001327CA">
      <w:pPr>
        <w:pStyle w:val="1"/>
        <w:snapToGrid w:val="0"/>
        <w:spacing w:before="360" w:after="240" w:line="640" w:lineRule="atLeast"/>
        <w:jc w:val="center"/>
        <w:rPr>
          <w:rFonts w:ascii="黑体" w:eastAsia="黑体"/>
          <w:b w:val="0"/>
          <w:sz w:val="24"/>
          <w:szCs w:val="24"/>
        </w:rPr>
      </w:pPr>
    </w:p>
    <w:p w:rsidR="001327CA" w:rsidRDefault="001327CA">
      <w:pPr>
        <w:pStyle w:val="1"/>
        <w:snapToGrid w:val="0"/>
        <w:spacing w:before="360" w:after="240" w:line="640" w:lineRule="atLeast"/>
        <w:jc w:val="center"/>
        <w:rPr>
          <w:rFonts w:ascii="黑体" w:eastAsia="黑体"/>
          <w:b w:val="0"/>
          <w:sz w:val="24"/>
          <w:szCs w:val="24"/>
        </w:rPr>
      </w:pPr>
    </w:p>
    <w:p w:rsidR="001327CA" w:rsidRDefault="001327CA">
      <w:pPr>
        <w:rPr>
          <w:sz w:val="24"/>
          <w:szCs w:val="24"/>
        </w:rPr>
      </w:pPr>
    </w:p>
    <w:p w:rsidR="001327CA" w:rsidRDefault="001327CA">
      <w:pPr>
        <w:pStyle w:val="1"/>
        <w:snapToGrid w:val="0"/>
        <w:spacing w:before="360" w:after="240" w:line="640" w:lineRule="atLeast"/>
        <w:jc w:val="center"/>
        <w:rPr>
          <w:rFonts w:ascii="黑体" w:eastAsia="黑体"/>
          <w:b w:val="0"/>
          <w:sz w:val="24"/>
          <w:szCs w:val="24"/>
        </w:rPr>
      </w:pPr>
    </w:p>
    <w:p w:rsidR="001327CA" w:rsidRDefault="001327CA">
      <w:pPr>
        <w:rPr>
          <w:rFonts w:ascii="黑体" w:eastAsia="黑体"/>
          <w:sz w:val="24"/>
          <w:szCs w:val="24"/>
        </w:rPr>
      </w:pPr>
    </w:p>
    <w:p w:rsidR="001327CA" w:rsidRDefault="001327CA">
      <w:pPr>
        <w:rPr>
          <w:rFonts w:ascii="黑体" w:eastAsia="黑体"/>
          <w:sz w:val="24"/>
          <w:szCs w:val="24"/>
        </w:rPr>
      </w:pPr>
    </w:p>
    <w:p w:rsidR="001327CA" w:rsidRDefault="001327CA">
      <w:pPr>
        <w:rPr>
          <w:rFonts w:ascii="黑体" w:eastAsia="黑体"/>
          <w:sz w:val="24"/>
          <w:szCs w:val="24"/>
        </w:rPr>
      </w:pPr>
    </w:p>
    <w:p w:rsidR="00962ED3" w:rsidRDefault="00962ED3">
      <w:pPr>
        <w:rPr>
          <w:rFonts w:ascii="黑体" w:eastAsia="黑体"/>
          <w:sz w:val="24"/>
          <w:szCs w:val="24"/>
        </w:rPr>
      </w:pPr>
    </w:p>
    <w:p w:rsidR="00962ED3" w:rsidRDefault="00962ED3">
      <w:pPr>
        <w:rPr>
          <w:rFonts w:ascii="黑体" w:eastAsia="黑体"/>
          <w:sz w:val="24"/>
          <w:szCs w:val="24"/>
        </w:rPr>
      </w:pPr>
    </w:p>
    <w:p w:rsidR="00962ED3" w:rsidRDefault="00962ED3">
      <w:pPr>
        <w:rPr>
          <w:rFonts w:ascii="黑体" w:eastAsia="黑体"/>
          <w:sz w:val="24"/>
          <w:szCs w:val="24"/>
        </w:rPr>
      </w:pPr>
    </w:p>
    <w:p w:rsidR="00962ED3" w:rsidRDefault="00962ED3">
      <w:pPr>
        <w:rPr>
          <w:rFonts w:ascii="黑体" w:eastAsia="黑体"/>
          <w:sz w:val="24"/>
          <w:szCs w:val="24"/>
        </w:rPr>
      </w:pPr>
    </w:p>
    <w:p w:rsidR="00962ED3" w:rsidRDefault="00962ED3">
      <w:pPr>
        <w:rPr>
          <w:rFonts w:ascii="黑体" w:eastAsia="黑体" w:hint="eastAsia"/>
          <w:sz w:val="24"/>
          <w:szCs w:val="24"/>
        </w:rPr>
      </w:pPr>
    </w:p>
    <w:p w:rsidR="001327CA" w:rsidRDefault="001327CA">
      <w:pPr>
        <w:rPr>
          <w:rFonts w:ascii="黑体" w:eastAsia="黑体"/>
          <w:sz w:val="24"/>
          <w:szCs w:val="24"/>
        </w:rPr>
      </w:pPr>
    </w:p>
    <w:p w:rsidR="001327CA" w:rsidRDefault="001327CA">
      <w:pPr>
        <w:rPr>
          <w:rFonts w:ascii="黑体" w:eastAsia="黑体"/>
          <w:sz w:val="24"/>
          <w:szCs w:val="24"/>
        </w:rPr>
      </w:pPr>
    </w:p>
    <w:p w:rsidR="001327CA" w:rsidRDefault="00962ED3">
      <w:pPr>
        <w:pStyle w:val="1"/>
        <w:snapToGrid w:val="0"/>
        <w:spacing w:before="360" w:after="240" w:line="640" w:lineRule="atLeast"/>
        <w:jc w:val="center"/>
        <w:rPr>
          <w:rFonts w:ascii="黑体" w:eastAsia="黑体"/>
          <w:b w:val="0"/>
          <w:szCs w:val="44"/>
        </w:rPr>
      </w:pPr>
      <w:r>
        <w:rPr>
          <w:rFonts w:ascii="方正小标宋简体" w:eastAsia="方正小标宋简体" w:cs="方正小标宋简体" w:hint="eastAsia"/>
          <w:b w:val="0"/>
          <w:kern w:val="2"/>
          <w:sz w:val="30"/>
          <w:szCs w:val="30"/>
        </w:rPr>
        <w:lastRenderedPageBreak/>
        <w:t>武汉市</w:t>
      </w:r>
      <w:proofErr w:type="gramStart"/>
      <w:r>
        <w:rPr>
          <w:rFonts w:ascii="方正小标宋简体" w:eastAsia="方正小标宋简体" w:cs="方正小标宋简体" w:hint="eastAsia"/>
          <w:b w:val="0"/>
          <w:kern w:val="2"/>
          <w:sz w:val="30"/>
          <w:szCs w:val="30"/>
        </w:rPr>
        <w:t>蔡甸</w:t>
      </w:r>
      <w:proofErr w:type="gramEnd"/>
      <w:r>
        <w:rPr>
          <w:rFonts w:ascii="方正小标宋简体" w:eastAsia="方正小标宋简体" w:cs="方正小标宋简体" w:hint="eastAsia"/>
          <w:b w:val="0"/>
          <w:kern w:val="2"/>
          <w:sz w:val="30"/>
          <w:szCs w:val="30"/>
        </w:rPr>
        <w:t>区红</w:t>
      </w:r>
      <w:r>
        <w:rPr>
          <w:rFonts w:ascii="方正小标宋简体" w:eastAsia="方正小标宋简体" w:cs="方正小标宋简体"/>
          <w:b w:val="0"/>
          <w:kern w:val="2"/>
          <w:sz w:val="30"/>
          <w:szCs w:val="30"/>
        </w:rPr>
        <w:t>十字会</w:t>
      </w:r>
      <w:r>
        <w:rPr>
          <w:rFonts w:ascii="方正小标宋简体" w:eastAsia="方正小标宋简体" w:cs="方正小标宋简体" w:hint="eastAsia"/>
          <w:b w:val="0"/>
          <w:kern w:val="2"/>
          <w:sz w:val="30"/>
          <w:szCs w:val="30"/>
        </w:rPr>
        <w:t>2025年项目绩效目标表</w:t>
      </w:r>
    </w:p>
    <w:p w:rsidR="001327CA" w:rsidRDefault="00074BD5" w:rsidP="00074BD5">
      <w:pPr>
        <w:jc w:val="right"/>
      </w:pPr>
      <w:r>
        <w:rPr>
          <w:rFonts w:ascii="仿宋_GB2312" w:eastAsia="仿宋_GB2312" w:hAnsi="仿宋_GB2312" w:cs="仿宋_GB2312" w:hint="eastAsia"/>
        </w:rPr>
        <w:t>资金</w:t>
      </w:r>
      <w:r w:rsidR="00AA4062">
        <w:rPr>
          <w:rFonts w:ascii="仿宋_GB2312" w:eastAsia="仿宋_GB2312" w:hAnsi="仿宋_GB2312" w:cs="仿宋_GB2312" w:hint="eastAsia"/>
        </w:rPr>
        <w:t>单位：万元</w:t>
      </w:r>
    </w:p>
    <w:tbl>
      <w:tblPr>
        <w:tblW w:w="8844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146"/>
        <w:gridCol w:w="1147"/>
        <w:gridCol w:w="1396"/>
        <w:gridCol w:w="975"/>
        <w:gridCol w:w="1110"/>
        <w:gridCol w:w="1095"/>
        <w:gridCol w:w="829"/>
      </w:tblGrid>
      <w:tr w:rsidR="001327CA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红十字会发展专项工作经费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420114224105T000000100</w:t>
            </w:r>
          </w:p>
        </w:tc>
      </w:tr>
      <w:tr w:rsidR="001327CA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蔡甸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区红十字会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蔡甸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区红十字会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7CA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陈洁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84946175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7CA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持续性项目</w:t>
            </w:r>
          </w:p>
        </w:tc>
      </w:tr>
      <w:tr w:rsidR="001327CA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日常运转类</w:t>
            </w:r>
          </w:p>
        </w:tc>
      </w:tr>
      <w:tr w:rsidR="001327CA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2025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7CA">
        <w:trPr>
          <w:trHeight w:val="674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《中华人民共和国红十字会法》《中国红十字会章程》《湖北省红十字会条例》《武汉市实施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中华人民共和国红十字会法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&gt;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办法》《关于做好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年度全市红十字改革工作的通知》（武红字【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】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号）</w:t>
            </w:r>
          </w:p>
        </w:tc>
      </w:tr>
      <w:tr w:rsidR="001327CA">
        <w:trPr>
          <w:trHeight w:val="68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邮电费</w:t>
            </w:r>
            <w:r w:rsidR="00E74DD3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2.5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万元。用于征订党报党刊、《中国红十字报》《博爱》等及其他党内学习书籍、电话费。</w:t>
            </w:r>
          </w:p>
          <w:p w:rsidR="001327CA" w:rsidRDefault="00AA4062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办公网络</w:t>
            </w:r>
            <w:r w:rsidR="00E74DD3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万元。宽带费、办公耗材，文具、纸用品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327CA" w:rsidRDefault="00AA4062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审计委托费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6.</w:t>
            </w:r>
            <w:r w:rsidR="00E74DD3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万元。用于机关会计财务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代账费用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万元、绩效评价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万元，社会捐助资金内部审计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1.5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档案整理费用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万，物业管理费用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  <w:r w:rsidR="00E74DD3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.2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万。</w:t>
            </w:r>
          </w:p>
          <w:p w:rsidR="001327CA" w:rsidRDefault="00AA4062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办公设备购置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1.3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万元。办公电脑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台，办公桌椅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套，文件柜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个。</w:t>
            </w:r>
          </w:p>
          <w:p w:rsidR="001327CA" w:rsidRDefault="00AA4062" w:rsidP="00E74DD3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党建宣传工作</w:t>
            </w:r>
            <w:r w:rsidR="00E74DD3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1.5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万元。党建、宣传、精神文明等工作。</w:t>
            </w:r>
          </w:p>
        </w:tc>
      </w:tr>
      <w:tr w:rsidR="001327CA">
        <w:trPr>
          <w:trHeight w:val="61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074BD5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074BD5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327CA">
        <w:trPr>
          <w:trHeight w:val="102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1327CA">
        <w:trPr>
          <w:trHeight w:val="450"/>
        </w:trPr>
        <w:tc>
          <w:tcPr>
            <w:tcW w:w="22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6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1327CA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074BD5">
            <w:pPr>
              <w:widowControl/>
              <w:snapToGrid w:val="0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327CA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074BD5">
            <w:pPr>
              <w:widowControl/>
              <w:snapToGrid w:val="0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327CA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其中：申请当年预算拨款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074BD5">
            <w:pPr>
              <w:widowControl/>
              <w:snapToGrid w:val="0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327CA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right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7CA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327CA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7CA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其中：使用上年度财政拨款结转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right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7CA">
        <w:trPr>
          <w:trHeight w:val="450"/>
        </w:trPr>
        <w:tc>
          <w:tcPr>
            <w:tcW w:w="8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项目支出明细测算</w:t>
            </w:r>
          </w:p>
        </w:tc>
      </w:tr>
      <w:tr w:rsidR="001327CA">
        <w:trPr>
          <w:trHeight w:val="66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327CA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办公网络及邮电费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宽带、电话费、报刊杂志、耗材等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6B9C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5.5</w:t>
            </w:r>
            <w:bookmarkStart w:id="0" w:name="_GoBack"/>
            <w:bookmarkEnd w:id="0"/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党报党刊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万，宽带、电话费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0.7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万元，办公耗材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0.8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万元，文具纸制品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0.5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7CA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委托业务费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各项财务审计、绩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效及软件维护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费用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委托业务费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 w:rsidP="00AA6B9C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6.</w:t>
            </w:r>
            <w:r w:rsidR="00AA6B9C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财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务代理费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万元，绩效评价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万元，社会捐赠账户审计费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1.5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档案整理费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万，物业管理费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  <w:r w:rsidR="00AA6B9C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.2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万。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7CA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办公设备购置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办公设备购置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办公设备购置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办公电脑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台，办公桌椅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套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，文件柜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7CA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其他支出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党建、宣传、精神文明等其他支出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其他商品服务支出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6B9C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意识形态、党建、宣传、精神文明等工作。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327CA">
        <w:trPr>
          <w:trHeight w:val="435"/>
        </w:trPr>
        <w:tc>
          <w:tcPr>
            <w:tcW w:w="8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 w:rsidR="001327C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0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1327C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righ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 w:rsidR="001327C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其他商品服务支出</w:t>
            </w: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1.3</w:t>
            </w: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27CA">
        <w:trPr>
          <w:trHeight w:val="435"/>
        </w:trPr>
        <w:tc>
          <w:tcPr>
            <w:tcW w:w="8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 w:rsidR="001327C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 w:rsidR="001327CA">
        <w:trPr>
          <w:trHeight w:val="71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组织体系不断健全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依法推进理顺管理体制。加强基层组织和服务阵地建设，夯实红十字基层基础。</w:t>
            </w:r>
          </w:p>
          <w:p w:rsidR="001327CA" w:rsidRDefault="001327CA">
            <w:pPr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27C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传播人道文化，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践行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社会主义核心价值观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  <w:lang w:bidi="ar"/>
              </w:rPr>
              <w:t>创新传播方式方法，动员各方面的资源和力量，加强红十字运动研究与传播，宣传人道精神。</w:t>
            </w:r>
          </w:p>
        </w:tc>
      </w:tr>
      <w:tr w:rsidR="001327CA">
        <w:trPr>
          <w:trHeight w:val="390"/>
        </w:trPr>
        <w:tc>
          <w:tcPr>
            <w:tcW w:w="8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 w:rsidR="001327CA">
        <w:trPr>
          <w:trHeight w:val="3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 w:rsidR="001327CA">
        <w:trPr>
          <w:trHeight w:val="390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tabs>
                <w:tab w:val="left" w:pos="503"/>
              </w:tabs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长期绩效目标表</w:t>
            </w:r>
          </w:p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1327CA" w:rsidRDefault="001327C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产出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</w:t>
            </w:r>
          </w:p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各项财务审计、绩效及软件维护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长期规划</w:t>
            </w:r>
          </w:p>
        </w:tc>
      </w:tr>
      <w:tr w:rsidR="001327CA">
        <w:trPr>
          <w:trHeight w:val="39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信息数量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篇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长期规划</w:t>
            </w:r>
          </w:p>
        </w:tc>
      </w:tr>
      <w:tr w:rsidR="001327CA">
        <w:trPr>
          <w:trHeight w:val="39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保障机关日常运行维护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长期规划</w:t>
            </w:r>
          </w:p>
        </w:tc>
      </w:tr>
      <w:tr w:rsidR="001327CA">
        <w:trPr>
          <w:trHeight w:val="39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机关软、硬件日常维护及信息化问题响应及时性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长期规划</w:t>
            </w:r>
          </w:p>
        </w:tc>
      </w:tr>
      <w:tr w:rsidR="001327CA">
        <w:trPr>
          <w:trHeight w:val="390"/>
        </w:trPr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满意度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95%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同期对比</w:t>
            </w:r>
          </w:p>
        </w:tc>
      </w:tr>
      <w:tr w:rsidR="001327CA">
        <w:trPr>
          <w:trHeight w:val="450"/>
        </w:trPr>
        <w:tc>
          <w:tcPr>
            <w:tcW w:w="8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年度绩效目标表</w:t>
            </w:r>
          </w:p>
        </w:tc>
      </w:tr>
      <w:tr w:rsidR="001327CA">
        <w:trPr>
          <w:trHeight w:val="45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三级</w:t>
            </w:r>
          </w:p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指标值确定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 w:rsidR="001327CA">
        <w:trPr>
          <w:trHeight w:val="450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实现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27CA" w:rsidRDefault="001327C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327CA">
        <w:trPr>
          <w:trHeight w:val="45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年度绩效目标表</w:t>
            </w:r>
          </w:p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产出指标</w:t>
            </w:r>
          </w:p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信息数量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篇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篇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年度计划</w:t>
            </w:r>
          </w:p>
        </w:tc>
      </w:tr>
      <w:tr w:rsidR="001327CA">
        <w:trPr>
          <w:trHeight w:val="45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各项财务审计、绩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效及软件维护</w:t>
            </w:r>
            <w:proofErr w:type="gramEnd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年度计划</w:t>
            </w:r>
          </w:p>
        </w:tc>
      </w:tr>
      <w:tr w:rsidR="001327CA">
        <w:trPr>
          <w:trHeight w:val="45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质量指标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保障机关日常运行维护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年度计划</w:t>
            </w:r>
          </w:p>
        </w:tc>
      </w:tr>
      <w:tr w:rsidR="001327CA">
        <w:trPr>
          <w:trHeight w:val="45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机关软、硬件日常维护及信息化问题响应及时性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年度计划</w:t>
            </w:r>
          </w:p>
        </w:tc>
      </w:tr>
      <w:tr w:rsidR="001327CA">
        <w:trPr>
          <w:trHeight w:val="450"/>
        </w:trPr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1327CA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满意度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95%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95%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95%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27CA" w:rsidRDefault="00AA40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年度计划</w:t>
            </w:r>
          </w:p>
        </w:tc>
      </w:tr>
    </w:tbl>
    <w:p w:rsidR="001327CA" w:rsidRDefault="001327CA"/>
    <w:p w:rsidR="001327CA" w:rsidRDefault="001327CA"/>
    <w:sectPr w:rsidR="00132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EFBF7B"/>
    <w:multiLevelType w:val="singleLevel"/>
    <w:tmpl w:val="E7EFBF7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CA"/>
    <w:rsid w:val="FF2FE9A6"/>
    <w:rsid w:val="FFF21F1A"/>
    <w:rsid w:val="00074BD5"/>
    <w:rsid w:val="001327CA"/>
    <w:rsid w:val="0028337A"/>
    <w:rsid w:val="00325C9B"/>
    <w:rsid w:val="003F3D84"/>
    <w:rsid w:val="00486626"/>
    <w:rsid w:val="004C0305"/>
    <w:rsid w:val="00601C3F"/>
    <w:rsid w:val="007C6A3C"/>
    <w:rsid w:val="00914AB3"/>
    <w:rsid w:val="00940D65"/>
    <w:rsid w:val="00962ED3"/>
    <w:rsid w:val="00967958"/>
    <w:rsid w:val="00A628EB"/>
    <w:rsid w:val="00AA4062"/>
    <w:rsid w:val="00AA6B9C"/>
    <w:rsid w:val="00B87A02"/>
    <w:rsid w:val="00BA3BA0"/>
    <w:rsid w:val="00BA3F6C"/>
    <w:rsid w:val="00BA7B77"/>
    <w:rsid w:val="00C82DDD"/>
    <w:rsid w:val="00E74DD3"/>
    <w:rsid w:val="00E74E06"/>
    <w:rsid w:val="00E85C8A"/>
    <w:rsid w:val="00F93E5A"/>
    <w:rsid w:val="157D1FAB"/>
    <w:rsid w:val="26EB45A3"/>
    <w:rsid w:val="3FFBEB40"/>
    <w:rsid w:val="4EFB03DF"/>
    <w:rsid w:val="56EBB8DB"/>
    <w:rsid w:val="5FFF9592"/>
    <w:rsid w:val="66BF255F"/>
    <w:rsid w:val="6BFFE242"/>
    <w:rsid w:val="734E1085"/>
    <w:rsid w:val="79FFC047"/>
    <w:rsid w:val="7D7E3A31"/>
    <w:rsid w:val="7EEE4175"/>
    <w:rsid w:val="955B7DF6"/>
    <w:rsid w:val="BB5FC507"/>
    <w:rsid w:val="BBFB32D5"/>
    <w:rsid w:val="BF4A18B1"/>
    <w:rsid w:val="D5C79E38"/>
    <w:rsid w:val="D6DEDA43"/>
    <w:rsid w:val="DF3FB06B"/>
    <w:rsid w:val="DFEF3BCB"/>
    <w:rsid w:val="E78FA265"/>
    <w:rsid w:val="F9F7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DA88D"/>
  <w15:docId w15:val="{62DCD6C1-2D42-4DBB-B887-D011F77C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3119</Words>
  <Characters>1034</Characters>
  <Application>Microsoft Office Word</Application>
  <DocSecurity>0</DocSecurity>
  <Lines>8</Lines>
  <Paragraphs>8</Paragraphs>
  <ScaleCrop>false</ScaleCrop>
  <Company>Organization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24</cp:revision>
  <dcterms:created xsi:type="dcterms:W3CDTF">2014-10-31T04:08:00Z</dcterms:created>
  <dcterms:modified xsi:type="dcterms:W3CDTF">2025-01-14T06:08:00Z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A47C5D84466944459C64BDB1DA87701B</vt:lpwstr>
  </property>
</Properties>
</file>