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部门整体支出绩效目标申报表</w:t>
      </w:r>
    </w:p>
    <w:p>
      <w:pPr>
        <w:widowControl/>
        <w:rPr>
          <w:rFonts w:ascii="宋体" w:hAnsi="宋体" w:eastAsia="宋体" w:cs="Times New Roman"/>
        </w:rPr>
      </w:pPr>
      <w:r>
        <w:rPr>
          <w:rFonts w:hint="eastAsia" w:ascii="宋体" w:hAnsi="宋体" w:eastAsia="宋体" w:cs="楷体_GB2312"/>
        </w:rPr>
        <w:t>填报日期：</w:t>
      </w:r>
      <w:r>
        <w:rPr>
          <w:rFonts w:ascii="宋体" w:hAnsi="宋体" w:eastAsia="宋体" w:cs="楷体_GB2312"/>
        </w:rPr>
        <w:t xml:space="preserve"> </w:t>
      </w:r>
      <w:r>
        <w:rPr>
          <w:rFonts w:hint="eastAsia" w:ascii="宋体" w:hAnsi="宋体" w:eastAsia="宋体" w:cs="楷体_GB2312"/>
          <w:lang w:val="en-US" w:eastAsia="zh-CN"/>
        </w:rPr>
        <w:t>2023</w:t>
      </w:r>
      <w:r>
        <w:rPr>
          <w:rFonts w:hint="eastAsia" w:ascii="宋体" w:hAnsi="宋体" w:eastAsia="宋体" w:cs="楷体_GB2312"/>
        </w:rPr>
        <w:t>年</w:t>
      </w:r>
      <w:r>
        <w:rPr>
          <w:rFonts w:hint="eastAsia" w:ascii="宋体" w:hAnsi="宋体" w:eastAsia="宋体" w:cs="楷体_GB2312"/>
          <w:lang w:val="en-US" w:eastAsia="zh-CN"/>
        </w:rPr>
        <w:t>9</w:t>
      </w:r>
      <w:r>
        <w:rPr>
          <w:rFonts w:hint="eastAsia" w:ascii="宋体" w:hAnsi="宋体" w:eastAsia="宋体" w:cs="楷体_GB2312"/>
        </w:rPr>
        <w:t>月</w:t>
      </w:r>
      <w:r>
        <w:rPr>
          <w:rFonts w:hint="eastAsia" w:ascii="宋体" w:hAnsi="宋体" w:eastAsia="宋体" w:cs="楷体_GB2312"/>
          <w:lang w:val="en-US" w:eastAsia="zh-CN"/>
        </w:rPr>
        <w:t>13</w:t>
      </w:r>
      <w:r>
        <w:rPr>
          <w:rFonts w:hint="eastAsia" w:ascii="宋体" w:hAnsi="宋体" w:eastAsia="宋体" w:cs="楷体_GB2312"/>
        </w:rPr>
        <w:t>日</w:t>
      </w:r>
      <w:r>
        <w:rPr>
          <w:rFonts w:ascii="宋体" w:hAnsi="宋体" w:eastAsia="宋体" w:cs="楷体_GB2312"/>
        </w:rPr>
        <w:t xml:space="preserve">                                          </w:t>
      </w:r>
      <w:r>
        <w:rPr>
          <w:rFonts w:hint="eastAsia" w:ascii="宋体" w:hAnsi="宋体" w:eastAsia="宋体" w:cs="楷体_GB2312"/>
        </w:rPr>
        <w:t>单位：万元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23"/>
        <w:gridCol w:w="1407"/>
        <w:gridCol w:w="1187"/>
        <w:gridCol w:w="226"/>
        <w:gridCol w:w="761"/>
        <w:gridCol w:w="185"/>
        <w:gridCol w:w="329"/>
        <w:gridCol w:w="506"/>
        <w:gridCol w:w="124"/>
        <w:gridCol w:w="954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部门（单位）名称</w:t>
            </w:r>
          </w:p>
        </w:tc>
        <w:tc>
          <w:tcPr>
            <w:tcW w:w="7520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武汉市蔡甸区红十字会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填报人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陈洁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联系电话</w:t>
            </w:r>
          </w:p>
        </w:tc>
        <w:tc>
          <w:tcPr>
            <w:tcW w:w="4103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84946175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部门总体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收支情况</w:t>
            </w:r>
          </w:p>
        </w:tc>
        <w:tc>
          <w:tcPr>
            <w:tcW w:w="341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总体收支情况</w:t>
            </w:r>
          </w:p>
        </w:tc>
        <w:tc>
          <w:tcPr>
            <w:tcW w:w="117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占比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341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17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95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财政拨款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202.9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8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91.29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171.75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其他资金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252.98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</w:rPr>
            </w:pPr>
            <w:r>
              <w:rPr>
                <w:rFonts w:hint="default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91.29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221.75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基本支出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183.48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61.79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146.75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19.5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29.5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202.98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</w:rPr>
            </w:pPr>
            <w:r>
              <w:rPr>
                <w:rFonts w:hint="default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91.29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171.75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部门职能概述</w:t>
            </w:r>
          </w:p>
        </w:tc>
        <w:tc>
          <w:tcPr>
            <w:tcW w:w="7520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开展救援、救灾的相关工作，建立红十字应急救援体系；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"/>
              </w:rPr>
              <w:t xml:space="preserve"> 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开展应急救护培训，普及应急救护、防灾避险和卫生健康知识，组织志愿者参与现场救护；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"/>
              </w:rPr>
              <w:t xml:space="preserve"> 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参与、推动无偿献血、遗体和人体器官捐献工作，参与开展造血干细胞捐献的相关工作；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4.组织开展红十字志愿服务、红十字青少年工作；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5.协助人民政府开展与其职责相关的其他人道主义服务活动。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年度工作任务</w:t>
            </w:r>
          </w:p>
        </w:tc>
        <w:tc>
          <w:tcPr>
            <w:tcW w:w="7520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1.开展救护培训等工作，全年救护员培训1200人，应急救护知识普及培训2500人次；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2.通过精心策划系列宣传活动，增强居民遗体器官捐献的科学理念和参与意识；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3.全年新增志愿者人数180人以上，成人会员160人，团体会员3家，青少年310人，开展志愿服务活动12次，参加志愿服务人数200人次；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4.加强基层组织建设，打造红十字特色的基层组织，在条件较好的社区成立社区红十字志愿服务队伍，创建红十字青少年工作基地。</w:t>
            </w:r>
            <w:r>
              <w:rPr>
                <w:rFonts w:hint="default"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项目支出情况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项目总预算</w:t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项目本年度预算</w:t>
            </w:r>
          </w:p>
        </w:tc>
        <w:tc>
          <w:tcPr>
            <w:tcW w:w="260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1.红十字业务工作经费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</w:t>
            </w:r>
          </w:p>
        </w:tc>
        <w:tc>
          <w:tcPr>
            <w:tcW w:w="260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救援救灾、救护培训、遗体和人体器官捐献工作、志愿服务等社会救助工作。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2.红十字发展专项经费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12.5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12.5</w:t>
            </w:r>
          </w:p>
        </w:tc>
        <w:tc>
          <w:tcPr>
            <w:tcW w:w="260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机关办公费、网络、水电、邮电费、审计费、帮扶资金、党建、宣传、精神文明、法治、档案经费等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948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</w:t>
            </w:r>
            <w:r>
              <w:rPr>
                <w:rFonts w:hint="default" w:ascii="宋体" w:hAnsi="宋体" w:eastAsia="宋体" w:cs="仿宋_GB2312"/>
                <w:b/>
                <w:bCs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：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lang w:eastAsia="zh-CN"/>
              </w:rPr>
              <w:t>红十字会业务工作经费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085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18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213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5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18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0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u w:val="none"/>
                <w:lang w:eastAsia="zh-CN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救护员培训人数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300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800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1200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u w:val="none"/>
                <w:lang w:eastAsia="zh-CN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普及救护培训人数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2500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2500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2500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u w:val="none"/>
                <w:lang w:eastAsia="zh-CN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组织志愿服务活动次数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u w:val="none"/>
                <w:lang w:eastAsia="zh-CN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新增志愿者人数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180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300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u w:val="none"/>
                <w:lang w:eastAsia="zh-CN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新增会员人数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160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400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质量指标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参加救护培训人员合格率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90%以上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90%以上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90%以上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u w:val="none"/>
                <w:lang w:eastAsia="zh-CN"/>
              </w:rPr>
              <w:t>质量指标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组织志愿服务活动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≥12次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≥12次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≥12次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u w:val="none"/>
                <w:lang w:eastAsia="zh-CN"/>
              </w:rPr>
              <w:t>质量指标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为区内突出事件存积救援力量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成立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1支应急救援队伍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成立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1支应急救援队伍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u w:val="singl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u w:val="none"/>
                <w:lang w:eastAsia="zh-CN"/>
              </w:rPr>
              <w:t>时效指标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培训完成时间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12月底完成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12月底完成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12月底完成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社会公众或服务对象满意度指标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u w:val="single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居民对开展此项工作满意度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19"/>
                <w:tab w:val="center" w:pos="701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ab/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社会公众或服务对象满意度指标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居民对开展此项工作满意度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8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仿宋_GB2312"/>
                <w:b/>
                <w:bCs/>
                <w:kern w:val="0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lang w:eastAsia="zh-CN"/>
              </w:rPr>
              <w:t>年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度目标</w:t>
            </w:r>
            <w:r>
              <w:rPr>
                <w:rFonts w:hint="default" w:ascii="宋体" w:hAnsi="宋体" w:eastAsia="宋体" w:cs="仿宋_GB2312"/>
                <w:b/>
                <w:bCs/>
                <w:kern w:val="0"/>
              </w:rPr>
              <w:t>2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：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lang w:eastAsia="zh-CN"/>
              </w:rPr>
              <w:t>红十字发展专项经费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仿宋_GB2312"/>
                <w:b/>
                <w:bCs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年度绩效指标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3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近两年指标值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预期当年实现值</w:t>
            </w: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0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信息数量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&gt;12篇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&gt;12篇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红十字宣传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宣传次数达到12次以上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组织多种志愿服务活动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超过上年次数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完成时间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12月底以前完成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12月底以前完成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社会公众或服务对象满意度指标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居民对开展此项工作满意度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社会公众或服务对象满意度指标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居民对开展此项工作满意度　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90%以上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计划标准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4133D"/>
    <w:rsid w:val="3FEE9392"/>
    <w:rsid w:val="4BDF2556"/>
    <w:rsid w:val="7DFBF33C"/>
    <w:rsid w:val="7EB9B0EE"/>
    <w:rsid w:val="BDBF865A"/>
    <w:rsid w:val="D6FE94F9"/>
    <w:rsid w:val="F574C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132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uos</cp:lastModifiedBy>
  <cp:lastPrinted>2021-05-20T16:39:00Z</cp:lastPrinted>
  <dcterms:modified xsi:type="dcterms:W3CDTF">2023-12-15T11:06:20Z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78C5DBCF02F04734B88955C6094B52EA</vt:lpwstr>
  </property>
</Properties>
</file>