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0" w:firstLineChars="200"/>
        <w:jc w:val="center"/>
        <w:rPr>
          <w:rFonts w:hint="eastAsia" w:ascii="仿宋" w:hAnsi="仿宋" w:eastAsia="仿宋" w:cs="仿宋"/>
          <w:sz w:val="44"/>
          <w:szCs w:val="44"/>
        </w:rPr>
      </w:pPr>
    </w:p>
    <w:p>
      <w:pPr>
        <w:spacing w:line="360" w:lineRule="auto"/>
        <w:ind w:firstLine="880" w:firstLineChars="200"/>
        <w:jc w:val="center"/>
        <w:rPr>
          <w:rFonts w:hint="eastAsia" w:ascii="仿宋" w:hAnsi="仿宋" w:eastAsia="仿宋" w:cs="仿宋"/>
          <w:sz w:val="44"/>
          <w:szCs w:val="44"/>
        </w:rPr>
      </w:pPr>
    </w:p>
    <w:p>
      <w:pPr>
        <w:spacing w:line="360" w:lineRule="auto"/>
        <w:ind w:firstLine="880" w:firstLineChars="200"/>
        <w:jc w:val="center"/>
        <w:rPr>
          <w:rFonts w:hint="eastAsia" w:ascii="仿宋" w:hAnsi="仿宋" w:eastAsia="仿宋" w:cs="仿宋"/>
          <w:sz w:val="44"/>
          <w:szCs w:val="44"/>
        </w:rPr>
      </w:pPr>
    </w:p>
    <w:p>
      <w:pPr>
        <w:spacing w:line="360" w:lineRule="auto"/>
        <w:ind w:firstLine="880" w:firstLineChars="200"/>
        <w:jc w:val="center"/>
        <w:rPr>
          <w:rFonts w:hint="eastAsia" w:ascii="仿宋" w:hAnsi="仿宋" w:eastAsia="仿宋" w:cs="仿宋"/>
          <w:sz w:val="44"/>
          <w:szCs w:val="44"/>
        </w:rPr>
      </w:pPr>
    </w:p>
    <w:p>
      <w:pPr>
        <w:spacing w:line="600" w:lineRule="auto"/>
        <w:jc w:val="center"/>
        <w:rPr>
          <w:rFonts w:hint="eastAsia" w:ascii="仿宋" w:hAnsi="仿宋" w:eastAsia="仿宋" w:cs="仿宋"/>
          <w:sz w:val="44"/>
          <w:szCs w:val="44"/>
        </w:rPr>
      </w:pPr>
      <w:r>
        <w:rPr>
          <w:rFonts w:hint="eastAsia" w:ascii="仿宋" w:hAnsi="仿宋" w:eastAsia="仿宋" w:cs="仿宋"/>
          <w:sz w:val="44"/>
          <w:szCs w:val="44"/>
        </w:rPr>
        <w:t>武汉市蔡甸区残疾人联合会</w:t>
      </w:r>
      <w:r>
        <w:rPr>
          <w:rFonts w:hint="eastAsia" w:ascii="仿宋" w:hAnsi="仿宋" w:eastAsia="仿宋" w:cs="仿宋"/>
          <w:sz w:val="44"/>
          <w:szCs w:val="44"/>
          <w:lang w:val="en-US" w:eastAsia="zh-CN"/>
        </w:rPr>
        <w:t>2023年</w:t>
      </w:r>
      <w:r>
        <w:rPr>
          <w:rFonts w:hint="eastAsia" w:ascii="仿宋" w:hAnsi="仿宋" w:eastAsia="仿宋" w:cs="仿宋"/>
          <w:sz w:val="44"/>
          <w:szCs w:val="44"/>
        </w:rPr>
        <w:t>度</w:t>
      </w:r>
    </w:p>
    <w:p>
      <w:pPr>
        <w:spacing w:line="600" w:lineRule="auto"/>
        <w:jc w:val="center"/>
        <w:rPr>
          <w:rFonts w:hint="eastAsia" w:ascii="仿宋" w:hAnsi="仿宋" w:eastAsia="仿宋" w:cs="仿宋"/>
          <w:sz w:val="44"/>
          <w:szCs w:val="44"/>
        </w:rPr>
      </w:pPr>
      <w:r>
        <w:rPr>
          <w:rFonts w:hint="eastAsia" w:ascii="仿宋" w:hAnsi="仿宋" w:eastAsia="仿宋" w:cs="仿宋"/>
          <w:sz w:val="44"/>
          <w:szCs w:val="44"/>
          <w:lang w:eastAsia="zh-CN"/>
        </w:rPr>
        <w:t>残疾人托底保障专项经费项目</w:t>
      </w:r>
      <w:r>
        <w:rPr>
          <w:rFonts w:hint="eastAsia" w:ascii="仿宋" w:hAnsi="仿宋" w:eastAsia="仿宋" w:cs="仿宋"/>
          <w:sz w:val="44"/>
          <w:szCs w:val="44"/>
        </w:rPr>
        <w:t>自评结果</w:t>
      </w:r>
    </w:p>
    <w:p>
      <w:pPr>
        <w:rPr>
          <w:rFonts w:hint="eastAsia" w:ascii="仿宋" w:hAnsi="仿宋" w:eastAsia="仿宋" w:cs="仿宋"/>
          <w:sz w:val="44"/>
          <w:szCs w:val="44"/>
        </w:rPr>
      </w:pPr>
    </w:p>
    <w:p>
      <w:pPr>
        <w:rPr>
          <w:rFonts w:hint="eastAsia" w:ascii="仿宋" w:hAnsi="仿宋" w:eastAsia="仿宋" w:cs="仿宋"/>
          <w:sz w:val="44"/>
          <w:szCs w:val="44"/>
        </w:rPr>
      </w:pPr>
    </w:p>
    <w:p>
      <w:pPr>
        <w:widowControl/>
        <w:ind w:right="-168" w:rightChars="-80" w:firstLine="790" w:firstLineChars="246"/>
        <w:jc w:val="left"/>
        <w:rPr>
          <w:rFonts w:hint="eastAsia" w:ascii="仿宋" w:hAnsi="仿宋" w:eastAsia="仿宋" w:cs="仿宋"/>
          <w:b/>
          <w:bCs/>
          <w:kern w:val="32"/>
          <w:sz w:val="32"/>
          <w:lang w:bidi="he-IL"/>
        </w:rPr>
      </w:pPr>
    </w:p>
    <w:p>
      <w:pPr>
        <w:widowControl/>
        <w:ind w:right="-168" w:rightChars="-80"/>
        <w:jc w:val="left"/>
        <w:rPr>
          <w:rFonts w:hint="eastAsia" w:ascii="仿宋" w:hAnsi="仿宋" w:eastAsia="仿宋" w:cs="仿宋"/>
          <w:b/>
          <w:bCs/>
          <w:kern w:val="32"/>
          <w:sz w:val="32"/>
          <w:lang w:bidi="he-IL"/>
        </w:rPr>
      </w:pPr>
    </w:p>
    <w:p>
      <w:pPr>
        <w:widowControl/>
        <w:ind w:right="-168" w:rightChars="-80"/>
        <w:jc w:val="left"/>
        <w:rPr>
          <w:rFonts w:hint="eastAsia" w:ascii="仿宋" w:hAnsi="仿宋" w:eastAsia="仿宋" w:cs="仿宋"/>
          <w:b/>
          <w:bCs/>
          <w:kern w:val="32"/>
          <w:sz w:val="32"/>
          <w:lang w:bidi="he-IL"/>
        </w:rPr>
      </w:pPr>
    </w:p>
    <w:p>
      <w:pPr>
        <w:widowControl/>
        <w:ind w:right="-168" w:rightChars="-80"/>
        <w:jc w:val="left"/>
        <w:rPr>
          <w:rFonts w:hint="eastAsia" w:ascii="仿宋" w:hAnsi="仿宋" w:eastAsia="仿宋" w:cs="仿宋"/>
          <w:b/>
          <w:bCs/>
          <w:kern w:val="32"/>
          <w:sz w:val="32"/>
          <w:lang w:bidi="he-IL"/>
        </w:rPr>
      </w:pPr>
    </w:p>
    <w:p>
      <w:pPr>
        <w:widowControl/>
        <w:ind w:right="-168" w:rightChars="-80" w:firstLine="787" w:firstLineChars="246"/>
        <w:jc w:val="left"/>
        <w:rPr>
          <w:rFonts w:hint="eastAsia" w:ascii="仿宋" w:hAnsi="仿宋" w:eastAsia="仿宋" w:cs="仿宋"/>
          <w:b w:val="0"/>
          <w:bCs w:val="0"/>
          <w:kern w:val="32"/>
          <w:sz w:val="32"/>
          <w:lang w:bidi="he-IL"/>
        </w:rPr>
      </w:pPr>
    </w:p>
    <w:p>
      <w:pPr>
        <w:widowControl/>
        <w:spacing w:line="480" w:lineRule="auto"/>
        <w:ind w:right="-168" w:rightChars="-80"/>
        <w:jc w:val="both"/>
        <w:rPr>
          <w:rFonts w:hint="eastAsia" w:ascii="仿宋" w:hAnsi="仿宋" w:eastAsia="仿宋" w:cs="仿宋"/>
          <w:b w:val="0"/>
          <w:bCs w:val="0"/>
          <w:kern w:val="32"/>
          <w:sz w:val="44"/>
          <w:szCs w:val="28"/>
          <w:lang w:eastAsia="zh-CN" w:bidi="he-IL"/>
        </w:rPr>
      </w:pPr>
      <w:r>
        <w:rPr>
          <w:rFonts w:hint="eastAsia" w:ascii="仿宋" w:hAnsi="仿宋" w:eastAsia="仿宋" w:cs="仿宋"/>
          <w:b w:val="0"/>
          <w:bCs w:val="0"/>
          <w:kern w:val="32"/>
          <w:sz w:val="44"/>
          <w:szCs w:val="28"/>
          <w:lang w:bidi="he-IL"/>
        </w:rPr>
        <w:t>项目名称</w:t>
      </w:r>
      <w:r>
        <w:rPr>
          <w:rFonts w:hint="eastAsia" w:ascii="仿宋" w:hAnsi="仿宋" w:eastAsia="仿宋" w:cs="仿宋"/>
          <w:b w:val="0"/>
          <w:bCs w:val="0"/>
          <w:kern w:val="32"/>
          <w:sz w:val="44"/>
          <w:szCs w:val="28"/>
          <w:lang w:eastAsia="zh-CN" w:bidi="he-IL"/>
        </w:rPr>
        <w:t>：残疾人托底保障专项经费</w:t>
      </w:r>
    </w:p>
    <w:p>
      <w:pPr>
        <w:widowControl/>
        <w:spacing w:line="480" w:lineRule="auto"/>
        <w:ind w:right="-168" w:rightChars="-80"/>
        <w:jc w:val="both"/>
        <w:rPr>
          <w:rFonts w:hint="eastAsia" w:ascii="仿宋" w:hAnsi="仿宋" w:eastAsia="仿宋" w:cs="仿宋"/>
          <w:b w:val="0"/>
          <w:bCs w:val="0"/>
          <w:sz w:val="44"/>
          <w:szCs w:val="44"/>
        </w:rPr>
      </w:pPr>
      <w:r>
        <w:rPr>
          <w:rFonts w:hint="eastAsia" w:ascii="仿宋" w:hAnsi="仿宋" w:eastAsia="仿宋" w:cs="仿宋"/>
          <w:b w:val="0"/>
          <w:bCs w:val="0"/>
          <w:kern w:val="32"/>
          <w:sz w:val="44"/>
          <w:szCs w:val="28"/>
          <w:lang w:bidi="he-IL"/>
        </w:rPr>
        <w:t>项目单位：武汉市蔡甸区残疾人联合会</w:t>
      </w:r>
    </w:p>
    <w:p>
      <w:pPr>
        <w:widowControl/>
        <w:spacing w:line="480" w:lineRule="auto"/>
        <w:jc w:val="both"/>
        <w:rPr>
          <w:rFonts w:hint="eastAsia" w:ascii="仿宋" w:hAnsi="仿宋" w:eastAsia="仿宋" w:cs="仿宋"/>
          <w:b w:val="0"/>
          <w:bCs w:val="0"/>
          <w:kern w:val="32"/>
          <w:sz w:val="44"/>
          <w:szCs w:val="28"/>
          <w:lang w:bidi="he-IL"/>
        </w:rPr>
      </w:pPr>
      <w:r>
        <w:rPr>
          <w:rFonts w:hint="eastAsia" w:ascii="仿宋" w:hAnsi="仿宋" w:eastAsia="仿宋" w:cs="仿宋"/>
          <w:b w:val="0"/>
          <w:bCs w:val="0"/>
          <w:kern w:val="32"/>
          <w:sz w:val="44"/>
          <w:szCs w:val="28"/>
          <w:lang w:bidi="he-IL"/>
        </w:rPr>
        <w:t>主管部门：武汉市蔡甸区残疾人联合会</w:t>
      </w:r>
    </w:p>
    <w:p>
      <w:pPr>
        <w:widowControl/>
        <w:jc w:val="both"/>
        <w:rPr>
          <w:rFonts w:hint="eastAsia" w:ascii="仿宋" w:hAnsi="仿宋" w:eastAsia="仿宋" w:cs="仿宋"/>
          <w:b/>
          <w:bCs/>
          <w:kern w:val="32"/>
          <w:sz w:val="44"/>
          <w:szCs w:val="28"/>
          <w:lang w:bidi="he-IL"/>
        </w:rPr>
      </w:pPr>
    </w:p>
    <w:p>
      <w:pPr>
        <w:widowControl/>
        <w:jc w:val="both"/>
        <w:rPr>
          <w:rFonts w:hint="eastAsia" w:ascii="仿宋" w:hAnsi="仿宋" w:eastAsia="仿宋" w:cs="仿宋"/>
          <w:b/>
          <w:bCs/>
          <w:kern w:val="32"/>
          <w:sz w:val="44"/>
          <w:szCs w:val="28"/>
          <w:lang w:bidi="he-IL"/>
        </w:rPr>
      </w:pPr>
    </w:p>
    <w:p>
      <w:pPr>
        <w:widowControl/>
        <w:jc w:val="center"/>
        <w:rPr>
          <w:rFonts w:hint="eastAsia" w:ascii="仿宋" w:hAnsi="仿宋" w:eastAsia="仿宋" w:cs="仿宋"/>
          <w:b w:val="0"/>
          <w:bCs w:val="0"/>
          <w:kern w:val="32"/>
          <w:sz w:val="44"/>
          <w:szCs w:val="28"/>
          <w:lang w:val="en-US" w:eastAsia="zh-CN" w:bidi="he-IL"/>
        </w:rPr>
      </w:pPr>
      <w:r>
        <w:rPr>
          <w:rFonts w:hint="eastAsia" w:ascii="仿宋" w:hAnsi="仿宋" w:eastAsia="仿宋" w:cs="仿宋"/>
          <w:b w:val="0"/>
          <w:bCs w:val="0"/>
          <w:kern w:val="32"/>
          <w:sz w:val="44"/>
          <w:szCs w:val="28"/>
          <w:lang w:val="en-US" w:eastAsia="zh-CN" w:bidi="he-IL"/>
        </w:rPr>
        <w:t>2024年3月</w:t>
      </w:r>
    </w:p>
    <w:p>
      <w:pPr>
        <w:rPr>
          <w:rFonts w:hint="eastAsia" w:ascii="仿宋" w:hAnsi="仿宋" w:eastAsia="仿宋" w:cs="仿宋"/>
          <w:sz w:val="44"/>
          <w:szCs w:val="44"/>
        </w:rPr>
      </w:pPr>
    </w:p>
    <w:p>
      <w:pPr>
        <w:rPr>
          <w:rFonts w:hint="eastAsia" w:ascii="仿宋" w:hAnsi="仿宋" w:eastAsia="仿宋" w:cs="仿宋"/>
          <w:sz w:val="44"/>
          <w:szCs w:val="44"/>
        </w:rPr>
      </w:pPr>
    </w:p>
    <w:p>
      <w:pPr>
        <w:rPr>
          <w:rFonts w:hint="eastAsia" w:ascii="仿宋" w:hAnsi="仿宋" w:eastAsia="仿宋" w:cs="仿宋"/>
          <w:sz w:val="44"/>
          <w:szCs w:val="44"/>
        </w:rPr>
      </w:pPr>
    </w:p>
    <w:sdt>
      <w:sdtPr>
        <w:rPr>
          <w:rFonts w:hint="eastAsia" w:ascii="仿宋" w:hAnsi="仿宋" w:eastAsia="仿宋" w:cs="仿宋"/>
          <w:kern w:val="2"/>
          <w:sz w:val="28"/>
          <w:szCs w:val="28"/>
          <w:lang w:val="en-US" w:eastAsia="zh-CN" w:bidi="ar-SA"/>
        </w:rPr>
        <w:id w:val="147480206"/>
        <w15:color w:val="DBDBDB"/>
        <w:docPartObj>
          <w:docPartGallery w:val="Table of Contents"/>
          <w:docPartUnique/>
        </w:docPartObj>
      </w:sdtPr>
      <w:sdtEndPr>
        <w:rPr>
          <w:rFonts w:hint="eastAsia" w:ascii="仿宋" w:hAnsi="仿宋" w:eastAsia="仿宋" w:cs="仿宋"/>
          <w:kern w:val="2"/>
          <w:sz w:val="22"/>
          <w:szCs w:val="48"/>
          <w:lang w:val="en-US" w:eastAsia="zh-CN" w:bidi="ar-SA"/>
        </w:rPr>
      </w:sdtEndPr>
      <w:sdtContent>
        <w:p>
          <w:pPr>
            <w:keepNext w:val="0"/>
            <w:keepLines w:val="0"/>
            <w:pageBreakBefore w:val="0"/>
            <w:widowControl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目</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录</w:t>
          </w:r>
        </w:p>
        <w:p>
          <w:pPr>
            <w:pStyle w:val="9"/>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sz w:val="21"/>
              <w:szCs w:val="21"/>
            </w:rPr>
            <w:fldChar w:fldCharType="begin"/>
          </w:r>
          <w:r>
            <w:rPr>
              <w:rFonts w:hint="eastAsia" w:ascii="仿宋" w:hAnsi="仿宋" w:eastAsia="仿宋" w:cs="仿宋"/>
              <w:sz w:val="21"/>
              <w:szCs w:val="21"/>
            </w:rPr>
            <w:instrText xml:space="preserve">TOC \o "1-3" \h \u </w:instrText>
          </w:r>
          <w:r>
            <w:rPr>
              <w:rFonts w:hint="eastAsia" w:ascii="仿宋" w:hAnsi="仿宋" w:eastAsia="仿宋" w:cs="仿宋"/>
              <w:sz w:val="21"/>
              <w:szCs w:val="21"/>
            </w:rPr>
            <w:fldChar w:fldCharType="separate"/>
          </w: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_Toc27767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一</w:t>
          </w:r>
          <w:r>
            <w:rPr>
              <w:rFonts w:hint="eastAsia" w:ascii="仿宋" w:hAnsi="仿宋" w:eastAsia="仿宋" w:cs="仿宋"/>
              <w:b/>
              <w:bCs/>
              <w:sz w:val="22"/>
              <w:szCs w:val="22"/>
            </w:rPr>
            <w:t>、绩效目标完成情况</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_Toc27767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1</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_Toc7730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1.执行率情况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_Toc7730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_Toc2268 </w:instrText>
          </w:r>
          <w:r>
            <w:rPr>
              <w:rFonts w:hint="eastAsia" w:ascii="仿宋" w:hAnsi="仿宋" w:eastAsia="仿宋" w:cs="仿宋"/>
              <w:sz w:val="22"/>
              <w:szCs w:val="24"/>
            </w:rPr>
            <w:fldChar w:fldCharType="separate"/>
          </w:r>
          <w:r>
            <w:rPr>
              <w:rFonts w:hint="eastAsia" w:ascii="仿宋" w:hAnsi="仿宋" w:eastAsia="仿宋" w:cs="仿宋"/>
              <w:bCs w:val="0"/>
              <w:sz w:val="22"/>
              <w:szCs w:val="22"/>
              <w:lang w:val="en-US" w:eastAsia="zh-CN"/>
            </w:rPr>
            <w:t>2.</w:t>
          </w:r>
          <w:r>
            <w:rPr>
              <w:rFonts w:hint="eastAsia" w:ascii="仿宋" w:hAnsi="仿宋" w:eastAsia="仿宋" w:cs="仿宋"/>
              <w:bCs w:val="0"/>
              <w:sz w:val="22"/>
              <w:szCs w:val="22"/>
            </w:rPr>
            <w:t>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_Toc2268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_Toc14010 </w:instrText>
          </w:r>
          <w:r>
            <w:rPr>
              <w:rFonts w:hint="eastAsia" w:ascii="仿宋" w:hAnsi="仿宋" w:eastAsia="仿宋" w:cs="仿宋"/>
              <w:sz w:val="22"/>
              <w:szCs w:val="24"/>
            </w:rPr>
            <w:fldChar w:fldCharType="separate"/>
          </w:r>
          <w:r>
            <w:rPr>
              <w:rFonts w:hint="eastAsia" w:ascii="仿宋" w:hAnsi="仿宋" w:eastAsia="仿宋" w:cs="仿宋"/>
              <w:sz w:val="22"/>
              <w:szCs w:val="22"/>
              <w:lang w:val="en-US" w:eastAsia="zh-CN"/>
            </w:rPr>
            <w:t>3.</w:t>
          </w:r>
          <w:r>
            <w:rPr>
              <w:rFonts w:hint="eastAsia" w:ascii="仿宋" w:hAnsi="仿宋" w:eastAsia="仿宋" w:cs="仿宋"/>
              <w:sz w:val="22"/>
              <w:szCs w:val="22"/>
            </w:rPr>
            <w:t>未完成的绩效目标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_Toc14010 \h </w:instrText>
          </w:r>
          <w:r>
            <w:rPr>
              <w:rFonts w:hint="eastAsia" w:ascii="仿宋" w:hAnsi="仿宋" w:eastAsia="仿宋" w:cs="仿宋"/>
              <w:sz w:val="22"/>
              <w:szCs w:val="22"/>
            </w:rPr>
            <w:fldChar w:fldCharType="separate"/>
          </w:r>
          <w:r>
            <w:rPr>
              <w:rFonts w:hint="eastAsia" w:ascii="仿宋" w:hAnsi="仿宋" w:eastAsia="仿宋" w:cs="仿宋"/>
              <w:sz w:val="22"/>
              <w:szCs w:val="22"/>
            </w:rPr>
            <w:t>1</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9"/>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_Toc23362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二、绩效目标完成情况分析</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_Toc23362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2</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_Toc15413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1.预算执行情况分析（包括完成情况和偏离原因等）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_Toc15413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_Toc25321 </w:instrText>
          </w:r>
          <w:r>
            <w:rPr>
              <w:rFonts w:hint="eastAsia" w:ascii="仿宋" w:hAnsi="仿宋" w:eastAsia="仿宋" w:cs="仿宋"/>
              <w:sz w:val="22"/>
              <w:szCs w:val="24"/>
            </w:rPr>
            <w:fldChar w:fldCharType="separate"/>
          </w:r>
          <w:r>
            <w:rPr>
              <w:rFonts w:hint="eastAsia" w:ascii="仿宋" w:hAnsi="仿宋" w:eastAsia="仿宋" w:cs="仿宋"/>
              <w:bCs w:val="0"/>
              <w:sz w:val="22"/>
              <w:szCs w:val="22"/>
            </w:rPr>
            <w:t>2.绩效目标完成情况分析（包括完成情况和偏离原因等）</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_Toc25321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6"/>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_Toc12948 </w:instrText>
          </w:r>
          <w:r>
            <w:rPr>
              <w:rFonts w:hint="eastAsia" w:ascii="仿宋" w:hAnsi="仿宋" w:eastAsia="仿宋" w:cs="仿宋"/>
              <w:sz w:val="22"/>
              <w:szCs w:val="24"/>
            </w:rPr>
            <w:fldChar w:fldCharType="separate"/>
          </w:r>
          <w:r>
            <w:rPr>
              <w:rFonts w:hint="eastAsia" w:ascii="仿宋" w:hAnsi="仿宋" w:eastAsia="仿宋" w:cs="仿宋"/>
              <w:bCs/>
              <w:sz w:val="22"/>
              <w:szCs w:val="22"/>
            </w:rPr>
            <w:t>（1）产出指标完成情况分析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_Toc12948 \h </w:instrText>
          </w:r>
          <w:r>
            <w:rPr>
              <w:rFonts w:hint="eastAsia" w:ascii="仿宋" w:hAnsi="仿宋" w:eastAsia="仿宋" w:cs="仿宋"/>
              <w:sz w:val="22"/>
              <w:szCs w:val="22"/>
            </w:rPr>
            <w:fldChar w:fldCharType="separate"/>
          </w:r>
          <w:r>
            <w:rPr>
              <w:rFonts w:hint="eastAsia" w:ascii="仿宋" w:hAnsi="仿宋" w:eastAsia="仿宋" w:cs="仿宋"/>
              <w:sz w:val="22"/>
              <w:szCs w:val="22"/>
            </w:rPr>
            <w:t>2</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6"/>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_Toc22253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rPr>
            <w:t>）</w:t>
          </w:r>
          <w:r>
            <w:rPr>
              <w:rFonts w:hint="eastAsia" w:ascii="仿宋" w:hAnsi="仿宋" w:eastAsia="仿宋" w:cs="仿宋"/>
              <w:bCs w:val="0"/>
              <w:sz w:val="22"/>
              <w:szCs w:val="22"/>
            </w:rPr>
            <w:t>效益指标完成情况分析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_Toc22253 \h </w:instrText>
          </w:r>
          <w:r>
            <w:rPr>
              <w:rFonts w:hint="eastAsia" w:ascii="仿宋" w:hAnsi="仿宋" w:eastAsia="仿宋" w:cs="仿宋"/>
              <w:sz w:val="22"/>
              <w:szCs w:val="22"/>
            </w:rPr>
            <w:fldChar w:fldCharType="separate"/>
          </w:r>
          <w:r>
            <w:rPr>
              <w:rFonts w:hint="eastAsia" w:ascii="仿宋" w:hAnsi="仿宋" w:eastAsia="仿宋" w:cs="仿宋"/>
              <w:sz w:val="22"/>
              <w:szCs w:val="22"/>
            </w:rPr>
            <w:t>3</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6"/>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_Toc21447 </w:instrText>
          </w:r>
          <w:r>
            <w:rPr>
              <w:rFonts w:hint="eastAsia" w:ascii="仿宋" w:hAnsi="仿宋" w:eastAsia="仿宋" w:cs="仿宋"/>
              <w:sz w:val="22"/>
              <w:szCs w:val="24"/>
            </w:rPr>
            <w:fldChar w:fldCharType="separate"/>
          </w:r>
          <w:r>
            <w:rPr>
              <w:rFonts w:hint="eastAsia" w:ascii="仿宋" w:hAnsi="仿宋" w:eastAsia="仿宋" w:cs="仿宋"/>
              <w:bCs/>
              <w:sz w:val="22"/>
              <w:szCs w:val="22"/>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rPr>
            <w:t>）满意度指标完成情况分析</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_Toc21447 \h </w:instrText>
          </w:r>
          <w:r>
            <w:rPr>
              <w:rFonts w:hint="eastAsia" w:ascii="仿宋" w:hAnsi="仿宋" w:eastAsia="仿宋" w:cs="仿宋"/>
              <w:sz w:val="22"/>
              <w:szCs w:val="22"/>
            </w:rPr>
            <w:fldChar w:fldCharType="separate"/>
          </w:r>
          <w:r>
            <w:rPr>
              <w:rFonts w:hint="eastAsia" w:ascii="仿宋" w:hAnsi="仿宋" w:eastAsia="仿宋" w:cs="仿宋"/>
              <w:sz w:val="22"/>
              <w:szCs w:val="22"/>
            </w:rPr>
            <w:t>4</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9"/>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_Toc29620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三、存在的问题和原因</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_Toc29620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4</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9"/>
            <w:tabs>
              <w:tab w:val="right" w:leader="dot" w:pos="8306"/>
            </w:tabs>
            <w:spacing w:line="360" w:lineRule="auto"/>
            <w:rPr>
              <w:rFonts w:hint="eastAsia" w:ascii="仿宋" w:hAnsi="仿宋" w:eastAsia="仿宋" w:cs="仿宋"/>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_Toc5103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四、下一步拟改进措施</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_Toc5103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5</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_Toc10473 </w:instrText>
          </w:r>
          <w:r>
            <w:rPr>
              <w:rFonts w:hint="eastAsia" w:ascii="仿宋" w:hAnsi="仿宋" w:eastAsia="仿宋" w:cs="仿宋"/>
              <w:sz w:val="22"/>
              <w:szCs w:val="24"/>
            </w:rPr>
            <w:fldChar w:fldCharType="separate"/>
          </w:r>
          <w:r>
            <w:rPr>
              <w:rFonts w:hint="eastAsia" w:ascii="仿宋" w:hAnsi="仿宋" w:eastAsia="仿宋" w:cs="仿宋"/>
              <w:bCs/>
              <w:sz w:val="22"/>
              <w:szCs w:val="22"/>
            </w:rPr>
            <w:t>1.下一步拟改进措施，包括项目整改和绩效目标调整完善等相关内容</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_Toc10473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_Toc26603 </w:instrText>
          </w:r>
          <w:r>
            <w:rPr>
              <w:rFonts w:hint="eastAsia" w:ascii="仿宋" w:hAnsi="仿宋" w:eastAsia="仿宋" w:cs="仿宋"/>
              <w:sz w:val="22"/>
              <w:szCs w:val="24"/>
            </w:rPr>
            <w:fldChar w:fldCharType="separate"/>
          </w:r>
          <w:r>
            <w:rPr>
              <w:rFonts w:hint="eastAsia" w:ascii="仿宋" w:hAnsi="仿宋" w:eastAsia="仿宋" w:cs="仿宋"/>
              <w:sz w:val="22"/>
              <w:szCs w:val="36"/>
            </w:rPr>
            <w:t xml:space="preserve">2. </w:t>
          </w:r>
          <w:r>
            <w:rPr>
              <w:rFonts w:hint="eastAsia" w:ascii="仿宋" w:hAnsi="仿宋" w:eastAsia="仿宋" w:cs="仿宋"/>
              <w:bCs/>
              <w:sz w:val="22"/>
              <w:szCs w:val="22"/>
            </w:rPr>
            <w:t>与预算安排相结合情况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_Toc26603 \h </w:instrText>
          </w:r>
          <w:r>
            <w:rPr>
              <w:rFonts w:hint="eastAsia" w:ascii="仿宋" w:hAnsi="仿宋" w:eastAsia="仿宋" w:cs="仿宋"/>
              <w:sz w:val="22"/>
              <w:szCs w:val="22"/>
            </w:rPr>
            <w:fldChar w:fldCharType="separate"/>
          </w:r>
          <w:r>
            <w:rPr>
              <w:rFonts w:hint="eastAsia" w:ascii="仿宋" w:hAnsi="仿宋" w:eastAsia="仿宋" w:cs="仿宋"/>
              <w:sz w:val="22"/>
              <w:szCs w:val="22"/>
            </w:rPr>
            <w:t>5</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9"/>
            <w:tabs>
              <w:tab w:val="right" w:leader="dot" w:pos="8306"/>
            </w:tabs>
            <w:spacing w:line="360" w:lineRule="auto"/>
            <w:rPr>
              <w:rFonts w:hint="eastAsia" w:ascii="仿宋" w:hAnsi="仿宋" w:eastAsia="仿宋" w:cs="仿宋"/>
              <w:b/>
              <w:bCs/>
              <w:sz w:val="22"/>
              <w:szCs w:val="22"/>
            </w:rPr>
          </w:pPr>
          <w:r>
            <w:rPr>
              <w:rFonts w:hint="eastAsia" w:ascii="仿宋" w:hAnsi="仿宋" w:eastAsia="仿宋" w:cs="仿宋"/>
              <w:b/>
              <w:bCs/>
              <w:sz w:val="22"/>
              <w:szCs w:val="24"/>
            </w:rPr>
            <w:fldChar w:fldCharType="begin"/>
          </w:r>
          <w:r>
            <w:rPr>
              <w:rFonts w:hint="eastAsia" w:ascii="仿宋" w:hAnsi="仿宋" w:eastAsia="仿宋" w:cs="仿宋"/>
              <w:b/>
              <w:bCs/>
              <w:sz w:val="22"/>
              <w:szCs w:val="24"/>
            </w:rPr>
            <w:instrText xml:space="preserve"> HYPERLINK \l _Toc21576 </w:instrText>
          </w:r>
          <w:r>
            <w:rPr>
              <w:rFonts w:hint="eastAsia" w:ascii="仿宋" w:hAnsi="仿宋" w:eastAsia="仿宋" w:cs="仿宋"/>
              <w:b/>
              <w:bCs/>
              <w:sz w:val="22"/>
              <w:szCs w:val="24"/>
            </w:rPr>
            <w:fldChar w:fldCharType="separate"/>
          </w:r>
          <w:r>
            <w:rPr>
              <w:rFonts w:hint="eastAsia" w:ascii="仿宋" w:hAnsi="仿宋" w:eastAsia="仿宋" w:cs="仿宋"/>
              <w:b/>
              <w:bCs/>
              <w:sz w:val="22"/>
              <w:szCs w:val="22"/>
              <w:lang w:val="en-US" w:eastAsia="zh-CN"/>
            </w:rPr>
            <w:t>五、评价结果</w:t>
          </w:r>
          <w:r>
            <w:rPr>
              <w:rFonts w:hint="eastAsia" w:ascii="仿宋" w:hAnsi="仿宋" w:eastAsia="仿宋" w:cs="仿宋"/>
              <w:b/>
              <w:bCs/>
              <w:sz w:val="22"/>
              <w:szCs w:val="22"/>
            </w:rPr>
            <w:tab/>
          </w:r>
          <w:r>
            <w:rPr>
              <w:rFonts w:hint="eastAsia" w:ascii="仿宋" w:hAnsi="仿宋" w:eastAsia="仿宋" w:cs="仿宋"/>
              <w:b/>
              <w:bCs/>
              <w:sz w:val="22"/>
              <w:szCs w:val="22"/>
            </w:rPr>
            <w:fldChar w:fldCharType="begin"/>
          </w:r>
          <w:r>
            <w:rPr>
              <w:rFonts w:hint="eastAsia" w:ascii="仿宋" w:hAnsi="仿宋" w:eastAsia="仿宋" w:cs="仿宋"/>
              <w:b/>
              <w:bCs/>
              <w:sz w:val="22"/>
              <w:szCs w:val="22"/>
            </w:rPr>
            <w:instrText xml:space="preserve"> PAGEREF _Toc21576 \h </w:instrText>
          </w:r>
          <w:r>
            <w:rPr>
              <w:rFonts w:hint="eastAsia" w:ascii="仿宋" w:hAnsi="仿宋" w:eastAsia="仿宋" w:cs="仿宋"/>
              <w:b/>
              <w:bCs/>
              <w:sz w:val="22"/>
              <w:szCs w:val="22"/>
            </w:rPr>
            <w:fldChar w:fldCharType="separate"/>
          </w:r>
          <w:r>
            <w:rPr>
              <w:rFonts w:hint="eastAsia" w:ascii="仿宋" w:hAnsi="仿宋" w:eastAsia="仿宋" w:cs="仿宋"/>
              <w:b/>
              <w:bCs/>
              <w:sz w:val="22"/>
              <w:szCs w:val="22"/>
            </w:rPr>
            <w:t>6</w:t>
          </w:r>
          <w:r>
            <w:rPr>
              <w:rFonts w:hint="eastAsia" w:ascii="仿宋" w:hAnsi="仿宋" w:eastAsia="仿宋" w:cs="仿宋"/>
              <w:b/>
              <w:bCs/>
              <w:sz w:val="22"/>
              <w:szCs w:val="22"/>
            </w:rPr>
            <w:fldChar w:fldCharType="end"/>
          </w:r>
          <w:r>
            <w:rPr>
              <w:rFonts w:hint="eastAsia" w:ascii="仿宋" w:hAnsi="仿宋" w:eastAsia="仿宋" w:cs="仿宋"/>
              <w:b/>
              <w:bCs/>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_Toc27000 </w:instrText>
          </w:r>
          <w:r>
            <w:rPr>
              <w:rFonts w:hint="eastAsia" w:ascii="仿宋" w:hAnsi="仿宋" w:eastAsia="仿宋" w:cs="仿宋"/>
              <w:sz w:val="22"/>
              <w:szCs w:val="24"/>
            </w:rPr>
            <w:fldChar w:fldCharType="separate"/>
          </w:r>
          <w:r>
            <w:rPr>
              <w:rFonts w:hint="eastAsia" w:ascii="仿宋" w:hAnsi="仿宋" w:eastAsia="仿宋" w:cs="仿宋"/>
              <w:bCs/>
              <w:sz w:val="22"/>
              <w:szCs w:val="22"/>
            </w:rPr>
            <w:t>（一） 基本情况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_Toc27000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_Toc22466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1</w:t>
          </w:r>
          <w:r>
            <w:rPr>
              <w:rFonts w:hint="eastAsia" w:ascii="仿宋" w:hAnsi="仿宋" w:eastAsia="仿宋" w:cs="仿宋"/>
              <w:bCs/>
              <w:sz w:val="22"/>
              <w:szCs w:val="22"/>
              <w:lang w:eastAsia="zh-CN"/>
            </w:rPr>
            <w:t>）</w:t>
          </w:r>
          <w:r>
            <w:rPr>
              <w:rFonts w:hint="eastAsia" w:ascii="仿宋" w:hAnsi="仿宋" w:eastAsia="仿宋" w:cs="仿宋"/>
              <w:bCs/>
              <w:sz w:val="22"/>
              <w:szCs w:val="22"/>
            </w:rPr>
            <w:t>项目立项背景和依据</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_Toc22466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_Toc3398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2</w:t>
          </w:r>
          <w:r>
            <w:rPr>
              <w:rFonts w:hint="eastAsia" w:ascii="仿宋" w:hAnsi="仿宋" w:eastAsia="仿宋" w:cs="仿宋"/>
              <w:bCs/>
              <w:sz w:val="22"/>
              <w:szCs w:val="22"/>
              <w:lang w:eastAsia="zh-CN"/>
            </w:rPr>
            <w:t>）项目绩效目标</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_Toc3398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_Toc3522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3</w:t>
          </w:r>
          <w:r>
            <w:rPr>
              <w:rFonts w:hint="eastAsia" w:ascii="仿宋" w:hAnsi="仿宋" w:eastAsia="仿宋" w:cs="仿宋"/>
              <w:bCs/>
              <w:sz w:val="22"/>
              <w:szCs w:val="22"/>
              <w:lang w:eastAsia="zh-CN"/>
            </w:rPr>
            <w:t>）项目经费来源和使用情况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_Toc3522 \h </w:instrText>
          </w:r>
          <w:r>
            <w:rPr>
              <w:rFonts w:hint="eastAsia" w:ascii="仿宋" w:hAnsi="仿宋" w:eastAsia="仿宋" w:cs="仿宋"/>
              <w:sz w:val="22"/>
              <w:szCs w:val="22"/>
            </w:rPr>
            <w:fldChar w:fldCharType="separate"/>
          </w:r>
          <w:r>
            <w:rPr>
              <w:rFonts w:hint="eastAsia" w:ascii="仿宋" w:hAnsi="仿宋" w:eastAsia="仿宋" w:cs="仿宋"/>
              <w:sz w:val="22"/>
              <w:szCs w:val="22"/>
            </w:rPr>
            <w:t>6</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_Toc680 </w:instrText>
          </w:r>
          <w:r>
            <w:rPr>
              <w:rFonts w:hint="eastAsia" w:ascii="仿宋" w:hAnsi="仿宋" w:eastAsia="仿宋" w:cs="仿宋"/>
              <w:sz w:val="22"/>
              <w:szCs w:val="24"/>
            </w:rPr>
            <w:fldChar w:fldCharType="separate"/>
          </w:r>
          <w:r>
            <w:rPr>
              <w:rFonts w:hint="eastAsia" w:ascii="仿宋" w:hAnsi="仿宋" w:eastAsia="仿宋" w:cs="仿宋"/>
              <w:bCs/>
              <w:sz w:val="22"/>
              <w:szCs w:val="22"/>
              <w:lang w:eastAsia="zh-CN"/>
            </w:rPr>
            <w:t>（</w:t>
          </w:r>
          <w:r>
            <w:rPr>
              <w:rFonts w:hint="eastAsia" w:ascii="仿宋" w:hAnsi="仿宋" w:eastAsia="仿宋" w:cs="仿宋"/>
              <w:bCs/>
              <w:sz w:val="22"/>
              <w:szCs w:val="22"/>
              <w:lang w:val="en-US" w:eastAsia="zh-CN"/>
            </w:rPr>
            <w:t>4</w:t>
          </w:r>
          <w:r>
            <w:rPr>
              <w:rFonts w:hint="eastAsia" w:ascii="仿宋" w:hAnsi="仿宋" w:eastAsia="仿宋" w:cs="仿宋"/>
              <w:bCs/>
              <w:sz w:val="22"/>
              <w:szCs w:val="22"/>
              <w:lang w:eastAsia="zh-CN"/>
            </w:rPr>
            <w:t>）项目实施情况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_Toc680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0"/>
            <w:tabs>
              <w:tab w:val="right" w:leader="dot" w:pos="8306"/>
            </w:tabs>
            <w:spacing w:line="360" w:lineRule="auto"/>
            <w:rPr>
              <w:rFonts w:hint="eastAsia" w:ascii="仿宋" w:hAnsi="仿宋" w:eastAsia="仿宋" w:cs="仿宋"/>
              <w:sz w:val="22"/>
              <w:szCs w:val="22"/>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_Toc29849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（二）部门自评工作开展情况</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_Toc29849 \h </w:instrText>
          </w:r>
          <w:r>
            <w:rPr>
              <w:rFonts w:hint="eastAsia" w:ascii="仿宋" w:hAnsi="仿宋" w:eastAsia="仿宋" w:cs="仿宋"/>
              <w:sz w:val="22"/>
              <w:szCs w:val="22"/>
            </w:rPr>
            <w:fldChar w:fldCharType="separate"/>
          </w:r>
          <w:r>
            <w:rPr>
              <w:rFonts w:hint="eastAsia" w:ascii="仿宋" w:hAnsi="仿宋" w:eastAsia="仿宋" w:cs="仿宋"/>
              <w:sz w:val="22"/>
              <w:szCs w:val="22"/>
            </w:rPr>
            <w:t>7</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pStyle w:val="10"/>
            <w:tabs>
              <w:tab w:val="right" w:leader="dot" w:pos="8306"/>
            </w:tabs>
            <w:spacing w:line="360" w:lineRule="auto"/>
            <w:rPr>
              <w:rFonts w:hint="eastAsia" w:ascii="仿宋" w:hAnsi="仿宋" w:eastAsia="仿宋" w:cs="仿宋"/>
              <w:sz w:val="20"/>
              <w:szCs w:val="20"/>
            </w:rPr>
          </w:pPr>
          <w:r>
            <w:rPr>
              <w:rFonts w:hint="eastAsia" w:ascii="仿宋" w:hAnsi="仿宋" w:eastAsia="仿宋" w:cs="仿宋"/>
              <w:sz w:val="22"/>
              <w:szCs w:val="24"/>
            </w:rPr>
            <w:fldChar w:fldCharType="begin"/>
          </w:r>
          <w:r>
            <w:rPr>
              <w:rFonts w:hint="eastAsia" w:ascii="仿宋" w:hAnsi="仿宋" w:eastAsia="仿宋" w:cs="仿宋"/>
              <w:sz w:val="22"/>
              <w:szCs w:val="24"/>
            </w:rPr>
            <w:instrText xml:space="preserve"> HYPERLINK \l _Toc20937 </w:instrText>
          </w:r>
          <w:r>
            <w:rPr>
              <w:rFonts w:hint="eastAsia" w:ascii="仿宋" w:hAnsi="仿宋" w:eastAsia="仿宋" w:cs="仿宋"/>
              <w:sz w:val="22"/>
              <w:szCs w:val="24"/>
            </w:rPr>
            <w:fldChar w:fldCharType="separate"/>
          </w:r>
          <w:r>
            <w:rPr>
              <w:rFonts w:hint="eastAsia" w:ascii="仿宋" w:hAnsi="仿宋" w:eastAsia="仿宋" w:cs="仿宋"/>
              <w:bCs/>
              <w:sz w:val="22"/>
              <w:szCs w:val="22"/>
              <w:lang w:val="en-US" w:eastAsia="zh-CN"/>
            </w:rPr>
            <w:t>（三）绩效评价结果</w:t>
          </w:r>
          <w:r>
            <w:rPr>
              <w:rFonts w:hint="eastAsia" w:ascii="仿宋" w:hAnsi="仿宋" w:eastAsia="仿宋" w:cs="仿宋"/>
              <w:sz w:val="22"/>
              <w:szCs w:val="22"/>
            </w:rPr>
            <w:tab/>
          </w:r>
          <w:r>
            <w:rPr>
              <w:rFonts w:hint="eastAsia" w:ascii="仿宋" w:hAnsi="仿宋" w:eastAsia="仿宋" w:cs="仿宋"/>
              <w:sz w:val="22"/>
              <w:szCs w:val="22"/>
            </w:rPr>
            <w:fldChar w:fldCharType="begin"/>
          </w:r>
          <w:r>
            <w:rPr>
              <w:rFonts w:hint="eastAsia" w:ascii="仿宋" w:hAnsi="仿宋" w:eastAsia="仿宋" w:cs="仿宋"/>
              <w:sz w:val="22"/>
              <w:szCs w:val="22"/>
            </w:rPr>
            <w:instrText xml:space="preserve"> PAGEREF _Toc20937 \h </w:instrText>
          </w:r>
          <w:r>
            <w:rPr>
              <w:rFonts w:hint="eastAsia" w:ascii="仿宋" w:hAnsi="仿宋" w:eastAsia="仿宋" w:cs="仿宋"/>
              <w:sz w:val="22"/>
              <w:szCs w:val="22"/>
            </w:rPr>
            <w:fldChar w:fldCharType="separate"/>
          </w:r>
          <w:r>
            <w:rPr>
              <w:rFonts w:hint="eastAsia" w:ascii="仿宋" w:hAnsi="仿宋" w:eastAsia="仿宋" w:cs="仿宋"/>
              <w:sz w:val="22"/>
              <w:szCs w:val="22"/>
            </w:rPr>
            <w:t>10</w:t>
          </w:r>
          <w:r>
            <w:rPr>
              <w:rFonts w:hint="eastAsia" w:ascii="仿宋" w:hAnsi="仿宋" w:eastAsia="仿宋" w:cs="仿宋"/>
              <w:sz w:val="22"/>
              <w:szCs w:val="22"/>
            </w:rPr>
            <w:fldChar w:fldCharType="end"/>
          </w:r>
          <w:r>
            <w:rPr>
              <w:rFonts w:hint="eastAsia" w:ascii="仿宋" w:hAnsi="仿宋" w:eastAsia="仿宋" w:cs="仿宋"/>
              <w:sz w:val="22"/>
              <w:szCs w:val="24"/>
            </w:rPr>
            <w:fldChar w:fldCharType="end"/>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kern w:val="2"/>
              <w:sz w:val="22"/>
              <w:szCs w:val="4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sz w:val="20"/>
              <w:szCs w:val="21"/>
            </w:rPr>
            <w:fldChar w:fldCharType="end"/>
          </w:r>
        </w:p>
      </w:sdtContent>
    </w:sdt>
    <w:p>
      <w:pPr>
        <w:rPr>
          <w:rFonts w:hint="eastAsia" w:ascii="仿宋" w:hAnsi="仿宋" w:eastAsia="仿宋" w:cs="仿宋"/>
          <w:lang w:val="en-US" w:eastAsia="zh-CN"/>
        </w:rPr>
      </w:pPr>
    </w:p>
    <w:p>
      <w:pPr>
        <w:pStyle w:val="2"/>
        <w:bidi w:val="0"/>
        <w:rPr>
          <w:rFonts w:hint="eastAsia" w:ascii="仿宋" w:hAnsi="仿宋" w:eastAsia="仿宋" w:cs="仿宋"/>
        </w:rPr>
      </w:pPr>
      <w:bookmarkStart w:id="0" w:name="_Toc27767"/>
      <w:r>
        <w:rPr>
          <w:rFonts w:hint="eastAsia" w:ascii="仿宋" w:hAnsi="仿宋" w:eastAsia="仿宋" w:cs="仿宋"/>
          <w:lang w:val="en-US" w:eastAsia="zh-CN"/>
        </w:rPr>
        <w:t>一</w:t>
      </w:r>
      <w:r>
        <w:rPr>
          <w:rFonts w:hint="eastAsia" w:ascii="仿宋" w:hAnsi="仿宋" w:eastAsia="仿宋" w:cs="仿宋"/>
        </w:rPr>
        <w:t>、绩效目标完成情况</w:t>
      </w:r>
      <w:bookmarkEnd w:id="0"/>
    </w:p>
    <w:p>
      <w:pPr>
        <w:pStyle w:val="3"/>
        <w:bidi w:val="0"/>
        <w:jc w:val="left"/>
        <w:rPr>
          <w:rFonts w:hint="eastAsia" w:ascii="仿宋" w:hAnsi="仿宋" w:eastAsia="仿宋" w:cs="仿宋"/>
          <w:b/>
          <w:bCs w:val="0"/>
        </w:rPr>
      </w:pPr>
      <w:bookmarkStart w:id="1" w:name="_Toc7730"/>
      <w:r>
        <w:rPr>
          <w:rFonts w:hint="eastAsia" w:ascii="仿宋" w:hAnsi="仿宋" w:eastAsia="仿宋" w:cs="仿宋"/>
          <w:b/>
          <w:bCs w:val="0"/>
        </w:rPr>
        <w:t>1.执行率情况</w:t>
      </w:r>
      <w:bookmarkEnd w:id="1"/>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rPr>
        <w:t>”项目为持续性、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w:t>
      </w:r>
      <w:r>
        <w:rPr>
          <w:rFonts w:hint="eastAsia" w:ascii="仿宋" w:hAnsi="仿宋" w:eastAsia="仿宋" w:cs="仿宋"/>
          <w:sz w:val="32"/>
          <w:szCs w:val="32"/>
          <w:lang w:val="en-US" w:eastAsia="zh-CN"/>
        </w:rPr>
        <w:t>年初预算资金629.71</w:t>
      </w:r>
      <w:r>
        <w:rPr>
          <w:rFonts w:hint="eastAsia" w:ascii="仿宋" w:hAnsi="仿宋" w:eastAsia="仿宋" w:cs="仿宋"/>
          <w:sz w:val="32"/>
          <w:szCs w:val="32"/>
        </w:rPr>
        <w:t>万元</w:t>
      </w:r>
      <w:r>
        <w:rPr>
          <w:rFonts w:hint="eastAsia" w:ascii="仿宋" w:hAnsi="仿宋" w:eastAsia="仿宋" w:cs="仿宋"/>
          <w:sz w:val="32"/>
          <w:szCs w:val="32"/>
          <w:lang w:val="en-US" w:eastAsia="zh-CN"/>
        </w:rPr>
        <w:t>，</w:t>
      </w:r>
      <w:r>
        <w:rPr>
          <w:rFonts w:hint="eastAsia" w:ascii="仿宋" w:hAnsi="仿宋" w:eastAsia="仿宋" w:cs="仿宋"/>
          <w:sz w:val="32"/>
          <w:szCs w:val="32"/>
        </w:rPr>
        <w:t>资金全部到位。“</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rPr>
        <w:t>”实际支出</w:t>
      </w:r>
      <w:r>
        <w:rPr>
          <w:rFonts w:hint="eastAsia" w:ascii="仿宋" w:hAnsi="仿宋" w:eastAsia="仿宋" w:cs="仿宋"/>
          <w:sz w:val="32"/>
          <w:szCs w:val="32"/>
          <w:lang w:val="en-US" w:eastAsia="zh-CN"/>
        </w:rPr>
        <w:t>530.76</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84.29%</w:t>
      </w:r>
      <w:r>
        <w:rPr>
          <w:rFonts w:hint="eastAsia" w:ascii="仿宋" w:hAnsi="仿宋" w:eastAsia="仿宋" w:cs="仿宋"/>
          <w:sz w:val="32"/>
          <w:szCs w:val="32"/>
        </w:rPr>
        <w:t>。</w:t>
      </w:r>
    </w:p>
    <w:p>
      <w:pPr>
        <w:pStyle w:val="3"/>
        <w:numPr>
          <w:ilvl w:val="0"/>
          <w:numId w:val="0"/>
        </w:numPr>
        <w:bidi w:val="0"/>
        <w:jc w:val="left"/>
        <w:rPr>
          <w:rFonts w:hint="eastAsia" w:ascii="仿宋" w:hAnsi="仿宋" w:eastAsia="仿宋" w:cs="仿宋"/>
          <w:b/>
          <w:bCs w:val="0"/>
        </w:rPr>
      </w:pPr>
      <w:bookmarkStart w:id="2" w:name="_Toc2268"/>
      <w:r>
        <w:rPr>
          <w:rFonts w:hint="eastAsia" w:ascii="仿宋" w:hAnsi="仿宋" w:eastAsia="仿宋" w:cs="仿宋"/>
          <w:b/>
          <w:bCs w:val="0"/>
          <w:lang w:val="en-US" w:eastAsia="zh-CN"/>
        </w:rPr>
        <w:t>2.</w:t>
      </w:r>
      <w:r>
        <w:rPr>
          <w:rFonts w:hint="eastAsia" w:ascii="仿宋" w:hAnsi="仿宋" w:eastAsia="仿宋" w:cs="仿宋"/>
          <w:b/>
          <w:bCs w:val="0"/>
        </w:rPr>
        <w:t>完成的绩效目标</w:t>
      </w:r>
      <w:bookmarkEnd w:id="2"/>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2023年“残疾人托底保障专项经费项目”共设置11个绩效目标，完成11个。完成绩效目标分别是：①残疾人托养服务30人②一户（双）多残低保家庭补贴136人③残疾人驾照补贴7人④听力、言语残疾人补贴1230人⑤居家服务140人⑥购买残疾人意外伤害及补充医疗保险1.3万人⑦残疾人保险覆盖率100%⑧保险购买完成及时率100%⑨减轻补贴对象家庭经济负担⑩改善残疾人生活质量⑪被补贴对象满意度95%。</w:t>
      </w:r>
    </w:p>
    <w:p>
      <w:pPr>
        <w:pStyle w:val="3"/>
        <w:numPr>
          <w:ilvl w:val="0"/>
          <w:numId w:val="0"/>
        </w:numPr>
        <w:bidi w:val="0"/>
        <w:rPr>
          <w:rFonts w:hint="eastAsia" w:ascii="仿宋" w:hAnsi="仿宋" w:eastAsia="仿宋" w:cs="仿宋"/>
        </w:rPr>
      </w:pPr>
      <w:bookmarkStart w:id="3" w:name="_Toc14010"/>
      <w:r>
        <w:rPr>
          <w:rFonts w:hint="eastAsia" w:ascii="仿宋" w:hAnsi="仿宋" w:eastAsia="仿宋" w:cs="仿宋"/>
          <w:lang w:val="en-US" w:eastAsia="zh-CN"/>
        </w:rPr>
        <w:t>3.</w:t>
      </w:r>
      <w:r>
        <w:rPr>
          <w:rFonts w:hint="eastAsia" w:ascii="仿宋" w:hAnsi="仿宋" w:eastAsia="仿宋" w:cs="仿宋"/>
        </w:rPr>
        <w:t>未完成的绩效目标</w:t>
      </w:r>
      <w:bookmarkEnd w:id="3"/>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jc w:val="left"/>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未完成绩效目标：无</w:t>
      </w:r>
    </w:p>
    <w:p>
      <w:pPr>
        <w:pStyle w:val="2"/>
        <w:bidi w:val="0"/>
        <w:rPr>
          <w:rFonts w:hint="eastAsia" w:ascii="仿宋" w:hAnsi="仿宋" w:eastAsia="仿宋" w:cs="仿宋"/>
          <w:lang w:val="en-US" w:eastAsia="zh-CN"/>
        </w:rPr>
      </w:pPr>
      <w:bookmarkStart w:id="4" w:name="_Toc23362"/>
      <w:r>
        <w:rPr>
          <w:rFonts w:hint="eastAsia" w:ascii="仿宋" w:hAnsi="仿宋" w:eastAsia="仿宋" w:cs="仿宋"/>
          <w:lang w:val="en-US" w:eastAsia="zh-CN"/>
        </w:rPr>
        <w:t>二、绩效目标完成情况分析</w:t>
      </w:r>
      <w:bookmarkEnd w:id="4"/>
    </w:p>
    <w:p>
      <w:pPr>
        <w:pStyle w:val="3"/>
        <w:bidi w:val="0"/>
        <w:jc w:val="left"/>
        <w:rPr>
          <w:rFonts w:hint="eastAsia" w:ascii="仿宋" w:hAnsi="仿宋" w:eastAsia="仿宋" w:cs="仿宋"/>
          <w:b/>
          <w:bCs w:val="0"/>
        </w:rPr>
      </w:pPr>
      <w:bookmarkStart w:id="5" w:name="_Toc15413"/>
      <w:r>
        <w:rPr>
          <w:rFonts w:hint="eastAsia" w:ascii="仿宋" w:hAnsi="仿宋" w:eastAsia="仿宋" w:cs="仿宋"/>
          <w:b/>
          <w:bCs w:val="0"/>
        </w:rPr>
        <w:t>1.预算执行情况分析（包括完成情况和偏离原因等）</w:t>
      </w:r>
      <w:bookmarkEnd w:id="5"/>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w:t>
      </w:r>
      <w:r>
        <w:rPr>
          <w:rFonts w:hint="eastAsia" w:ascii="仿宋" w:hAnsi="仿宋" w:eastAsia="仿宋" w:cs="仿宋"/>
          <w:b w:val="0"/>
          <w:bCs/>
          <w:sz w:val="32"/>
          <w:szCs w:val="32"/>
          <w:lang w:val="en-US" w:eastAsia="zh-CN"/>
        </w:rPr>
        <w:t>残疾人托底保障专项经费项目</w:t>
      </w:r>
      <w:r>
        <w:rPr>
          <w:rFonts w:hint="eastAsia" w:ascii="仿宋" w:hAnsi="仿宋" w:eastAsia="仿宋" w:cs="仿宋"/>
          <w:sz w:val="32"/>
          <w:szCs w:val="32"/>
        </w:rPr>
        <w:t>”</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年</w:t>
      </w:r>
      <w:r>
        <w:rPr>
          <w:rFonts w:hint="eastAsia" w:ascii="仿宋" w:hAnsi="仿宋" w:eastAsia="仿宋" w:cs="仿宋"/>
          <w:sz w:val="32"/>
          <w:szCs w:val="32"/>
        </w:rPr>
        <w:t>年初预算</w:t>
      </w:r>
      <w:r>
        <w:rPr>
          <w:rFonts w:hint="eastAsia" w:ascii="仿宋" w:hAnsi="仿宋" w:eastAsia="仿宋" w:cs="仿宋"/>
          <w:sz w:val="32"/>
          <w:szCs w:val="32"/>
          <w:lang w:val="en-US" w:eastAsia="zh-CN"/>
        </w:rPr>
        <w:t>629.71</w:t>
      </w:r>
      <w:r>
        <w:rPr>
          <w:rFonts w:hint="eastAsia" w:ascii="仿宋" w:hAnsi="仿宋" w:eastAsia="仿宋" w:cs="仿宋"/>
          <w:sz w:val="32"/>
          <w:szCs w:val="32"/>
        </w:rPr>
        <w:t>万元。</w:t>
      </w:r>
      <w:r>
        <w:rPr>
          <w:rFonts w:hint="eastAsia" w:ascii="仿宋" w:hAnsi="仿宋" w:eastAsia="仿宋" w:cs="仿宋"/>
          <w:sz w:val="32"/>
          <w:szCs w:val="32"/>
          <w:lang w:val="en-US" w:eastAsia="zh-CN"/>
        </w:rPr>
        <w:t>实际</w:t>
      </w:r>
      <w:r>
        <w:rPr>
          <w:rFonts w:hint="eastAsia" w:ascii="仿宋" w:hAnsi="仿宋" w:eastAsia="仿宋" w:cs="仿宋"/>
          <w:sz w:val="32"/>
          <w:szCs w:val="32"/>
        </w:rPr>
        <w:t>支出金额</w:t>
      </w:r>
      <w:r>
        <w:rPr>
          <w:rFonts w:hint="eastAsia" w:ascii="仿宋" w:hAnsi="仿宋" w:eastAsia="仿宋" w:cs="仿宋"/>
          <w:sz w:val="32"/>
          <w:szCs w:val="32"/>
          <w:lang w:val="en-US" w:eastAsia="zh-CN"/>
        </w:rPr>
        <w:t>530.76</w:t>
      </w:r>
      <w:r>
        <w:rPr>
          <w:rFonts w:hint="eastAsia" w:ascii="仿宋" w:hAnsi="仿宋" w:eastAsia="仿宋" w:cs="仿宋"/>
          <w:sz w:val="32"/>
          <w:szCs w:val="32"/>
        </w:rPr>
        <w:t>万元，预算执行率</w:t>
      </w:r>
      <w:r>
        <w:rPr>
          <w:rFonts w:hint="eastAsia" w:ascii="仿宋" w:hAnsi="仿宋" w:eastAsia="仿宋" w:cs="仿宋"/>
          <w:sz w:val="32"/>
          <w:szCs w:val="32"/>
          <w:lang w:val="en-US" w:eastAsia="zh-CN"/>
        </w:rPr>
        <w:t>84.29%</w:t>
      </w:r>
      <w:r>
        <w:rPr>
          <w:rFonts w:hint="eastAsia" w:ascii="仿宋" w:hAnsi="仿宋" w:eastAsia="仿宋" w:cs="仿宋"/>
          <w:sz w:val="32"/>
          <w:szCs w:val="32"/>
        </w:rPr>
        <w:t>。</w:t>
      </w:r>
    </w:p>
    <w:p>
      <w:pPr>
        <w:pStyle w:val="3"/>
        <w:bidi w:val="0"/>
        <w:jc w:val="left"/>
        <w:rPr>
          <w:rFonts w:hint="eastAsia" w:ascii="仿宋" w:hAnsi="仿宋" w:eastAsia="仿宋" w:cs="仿宋"/>
          <w:b/>
          <w:bCs w:val="0"/>
        </w:rPr>
      </w:pPr>
      <w:bookmarkStart w:id="6" w:name="_Toc25321"/>
      <w:r>
        <w:rPr>
          <w:rFonts w:hint="eastAsia" w:ascii="仿宋" w:hAnsi="仿宋" w:eastAsia="仿宋" w:cs="仿宋"/>
          <w:b/>
          <w:bCs w:val="0"/>
        </w:rPr>
        <w:t>2.绩效目标完成情况分析（包括完成情况和偏离原因等）</w:t>
      </w:r>
      <w:bookmarkEnd w:id="6"/>
    </w:p>
    <w:p>
      <w:pPr>
        <w:pStyle w:val="4"/>
        <w:bidi w:val="0"/>
        <w:jc w:val="left"/>
        <w:rPr>
          <w:rFonts w:hint="eastAsia" w:ascii="仿宋" w:hAnsi="仿宋" w:eastAsia="仿宋" w:cs="仿宋"/>
          <w:b w:val="0"/>
          <w:bCs/>
          <w:sz w:val="32"/>
          <w:szCs w:val="32"/>
          <w:lang w:val="en-US" w:eastAsia="zh-CN"/>
        </w:rPr>
      </w:pPr>
      <w:bookmarkStart w:id="7" w:name="_Toc12948"/>
      <w:r>
        <w:rPr>
          <w:rFonts w:hint="eastAsia" w:ascii="仿宋" w:hAnsi="仿宋" w:eastAsia="仿宋" w:cs="仿宋"/>
          <w:b w:val="0"/>
          <w:bCs/>
        </w:rPr>
        <w:t>（1）产出指标完成情况分析</w:t>
      </w:r>
      <w:bookmarkEnd w:id="7"/>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b w:val="0"/>
          <w:bCs/>
          <w:sz w:val="32"/>
          <w:szCs w:val="32"/>
          <w:lang w:val="en-US" w:eastAsia="zh-CN"/>
        </w:rPr>
      </w:pPr>
      <w:r>
        <w:rPr>
          <w:rFonts w:hint="eastAsia" w:ascii="仿宋" w:hAnsi="仿宋" w:eastAsia="仿宋" w:cs="仿宋"/>
          <w:b w:val="0"/>
          <w:bCs/>
          <w:sz w:val="32"/>
          <w:szCs w:val="32"/>
          <w:lang w:val="en-US" w:eastAsia="zh-CN"/>
        </w:rPr>
        <w:t>①数量指标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b w:val="0"/>
          <w:bCs/>
          <w:sz w:val="32"/>
          <w:szCs w:val="32"/>
          <w:lang w:val="en-US" w:eastAsia="zh-CN"/>
        </w:rPr>
        <w:t>残疾人托养服务</w:t>
      </w:r>
      <w:r>
        <w:rPr>
          <w:rFonts w:hint="eastAsia" w:ascii="仿宋" w:hAnsi="仿宋" w:eastAsia="仿宋" w:cs="仿宋"/>
          <w:sz w:val="32"/>
          <w:szCs w:val="32"/>
        </w:rPr>
        <w:t>，指项目实施</w:t>
      </w:r>
      <w:r>
        <w:rPr>
          <w:rFonts w:hint="eastAsia" w:ascii="仿宋" w:hAnsi="仿宋" w:eastAsia="仿宋" w:cs="仿宋"/>
          <w:sz w:val="32"/>
          <w:szCs w:val="32"/>
          <w:lang w:val="en-US" w:eastAsia="zh-CN"/>
        </w:rPr>
        <w:t>单位通过购买第三方服务实际托养残疾人数</w:t>
      </w:r>
      <w:r>
        <w:rPr>
          <w:rFonts w:hint="eastAsia" w:ascii="仿宋" w:hAnsi="仿宋" w:eastAsia="仿宋" w:cs="仿宋"/>
          <w:sz w:val="32"/>
          <w:szCs w:val="32"/>
        </w:rPr>
        <w:t>，用以反映和考核项目产出数量目标的实现程度。年初</w:t>
      </w:r>
      <w:r>
        <w:rPr>
          <w:rFonts w:hint="eastAsia" w:ascii="仿宋" w:hAnsi="仿宋" w:eastAsia="仿宋" w:cs="仿宋"/>
          <w:sz w:val="32"/>
          <w:szCs w:val="32"/>
          <w:lang w:val="en-US" w:eastAsia="zh-CN"/>
        </w:rPr>
        <w:t>目标值30</w:t>
      </w:r>
      <w:r>
        <w:rPr>
          <w:rFonts w:hint="eastAsia" w:ascii="仿宋" w:hAnsi="仿宋" w:eastAsia="仿宋" w:cs="仿宋"/>
          <w:sz w:val="32"/>
          <w:szCs w:val="32"/>
        </w:rPr>
        <w:t>人次，实际</w:t>
      </w:r>
      <w:r>
        <w:rPr>
          <w:rFonts w:hint="eastAsia" w:ascii="仿宋" w:hAnsi="仿宋" w:eastAsia="仿宋" w:cs="仿宋"/>
          <w:sz w:val="32"/>
          <w:szCs w:val="32"/>
          <w:lang w:val="en-US" w:eastAsia="zh-CN"/>
        </w:rPr>
        <w:t>完成30</w:t>
      </w:r>
      <w:r>
        <w:rPr>
          <w:rFonts w:hint="eastAsia" w:ascii="仿宋" w:hAnsi="仿宋" w:eastAsia="仿宋" w:cs="仿宋"/>
          <w:sz w:val="32"/>
          <w:szCs w:val="32"/>
        </w:rPr>
        <w:t>人次，完成全年目标。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default" w:ascii="仿宋" w:hAnsi="仿宋" w:eastAsia="仿宋" w:cs="仿宋"/>
          <w:sz w:val="32"/>
          <w:szCs w:val="32"/>
          <w:lang w:val="en-US" w:eastAsia="zh-CN"/>
        </w:rPr>
        <w:t>一户（双）多残低保家庭补贴</w:t>
      </w:r>
      <w:r>
        <w:rPr>
          <w:rFonts w:hint="eastAsia" w:ascii="仿宋" w:hAnsi="仿宋" w:eastAsia="仿宋" w:cs="仿宋"/>
          <w:sz w:val="32"/>
          <w:szCs w:val="32"/>
          <w:lang w:val="en-US" w:eastAsia="zh-CN"/>
        </w:rPr>
        <w:t>，指的项目实施实际补贴人数，</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目标值130人，实际完成136人。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残疾人驾照补贴</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指的项目实施实际发放补贴数量，</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目标值5人，实际完成7人。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听力、言语残疾人补贴人数，指的项目实施听力、言语补贴情况，</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rPr>
        <w:t>年初</w:t>
      </w:r>
      <w:r>
        <w:rPr>
          <w:rFonts w:hint="eastAsia" w:ascii="仿宋" w:hAnsi="仿宋" w:eastAsia="仿宋" w:cs="仿宋"/>
          <w:sz w:val="32"/>
          <w:szCs w:val="32"/>
          <w:lang w:val="en-US" w:eastAsia="zh-CN"/>
        </w:rPr>
        <w:t>目标值1200个人，实际补贴1230人。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居家服务人数，</w:t>
      </w:r>
      <w:r>
        <w:rPr>
          <w:rFonts w:hint="eastAsia" w:ascii="仿宋" w:hAnsi="仿宋" w:eastAsia="仿宋" w:cs="仿宋"/>
          <w:sz w:val="32"/>
          <w:szCs w:val="32"/>
        </w:rPr>
        <w:t>指项目实施</w:t>
      </w:r>
      <w:r>
        <w:rPr>
          <w:rFonts w:hint="eastAsia" w:ascii="仿宋" w:hAnsi="仿宋" w:eastAsia="仿宋" w:cs="仿宋"/>
          <w:sz w:val="32"/>
          <w:szCs w:val="32"/>
          <w:lang w:val="en-US" w:eastAsia="zh-CN"/>
        </w:rPr>
        <w:t>残疾人居家托养情况，</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年初目标值30人，实际完成30人。</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_GB2312" w:cs="仿宋"/>
          <w:sz w:val="32"/>
          <w:szCs w:val="32"/>
          <w:lang w:val="en-US" w:eastAsia="zh-CN"/>
        </w:rPr>
      </w:pPr>
      <w:r>
        <w:rPr>
          <w:rFonts w:hint="eastAsia" w:ascii="仿宋" w:hAnsi="仿宋" w:eastAsia="仿宋" w:cs="仿宋"/>
          <w:sz w:val="32"/>
          <w:szCs w:val="32"/>
          <w:lang w:val="en-US" w:eastAsia="zh-CN"/>
        </w:rPr>
        <w:t>购买残疾人意外伤害及补充医疗保险人数，指项目实施为残疾人购买保险情况，</w:t>
      </w:r>
      <w:r>
        <w:rPr>
          <w:rFonts w:hint="eastAsia" w:ascii="仿宋" w:hAnsi="仿宋" w:eastAsia="仿宋" w:cs="仿宋"/>
          <w:sz w:val="32"/>
          <w:szCs w:val="32"/>
        </w:rPr>
        <w:t>用以反映和考核项目产出数量目标的实现程度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年初目标值1.3万人，实际为</w:t>
      </w:r>
      <w:r>
        <w:rPr>
          <w:rFonts w:hint="eastAsia" w:ascii="仿宋_GB2312" w:hAnsi="仿宋_GB2312" w:eastAsia="仿宋_GB2312" w:cs="仿宋_GB2312"/>
          <w:color w:val="auto"/>
          <w:sz w:val="32"/>
          <w:szCs w:val="32"/>
        </w:rPr>
        <w:t>全区1.3万持证残疾人购买意外伤害及补充医疗保险</w:t>
      </w:r>
      <w:r>
        <w:rPr>
          <w:rFonts w:hint="eastAsia" w:ascii="仿宋_GB2312" w:hAnsi="仿宋_GB2312" w:eastAsia="仿宋_GB2312" w:cs="仿宋_GB2312"/>
          <w:color w:val="auto"/>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②质量指标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残疾人保险覆盖率，</w:t>
      </w:r>
      <w:r>
        <w:rPr>
          <w:rFonts w:hint="eastAsia" w:ascii="仿宋" w:hAnsi="仿宋" w:eastAsia="仿宋" w:cs="仿宋"/>
          <w:sz w:val="32"/>
          <w:szCs w:val="32"/>
        </w:rPr>
        <w:t>指项目实施</w:t>
      </w:r>
      <w:r>
        <w:rPr>
          <w:rFonts w:hint="eastAsia" w:ascii="仿宋" w:hAnsi="仿宋" w:eastAsia="仿宋" w:cs="仿宋"/>
          <w:b w:val="0"/>
          <w:bCs/>
          <w:sz w:val="32"/>
          <w:szCs w:val="32"/>
          <w:lang w:val="en-US" w:eastAsia="zh-CN"/>
        </w:rPr>
        <w:t>残疾人</w:t>
      </w:r>
      <w:r>
        <w:rPr>
          <w:rFonts w:hint="eastAsia" w:ascii="仿宋" w:hAnsi="仿宋" w:eastAsia="仿宋" w:cs="仿宋"/>
          <w:sz w:val="32"/>
          <w:szCs w:val="32"/>
          <w:lang w:val="en-US" w:eastAsia="zh-CN"/>
        </w:rPr>
        <w:t>购买意外伤害险覆盖情况</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年初目标值100%，</w:t>
      </w:r>
      <w:r>
        <w:rPr>
          <w:rFonts w:hint="eastAsia" w:ascii="仿宋" w:hAnsi="仿宋" w:eastAsia="仿宋"/>
          <w:sz w:val="32"/>
          <w:szCs w:val="32"/>
        </w:rPr>
        <w:t>为所有持证残疾人购买了群体意外伤害及补充医疗保险</w:t>
      </w:r>
      <w:r>
        <w:rPr>
          <w:rFonts w:hint="eastAsia" w:ascii="仿宋" w:hAnsi="仿宋" w:eastAsia="仿宋"/>
          <w:sz w:val="32"/>
          <w:szCs w:val="32"/>
          <w:lang w:eastAsia="zh-CN"/>
        </w:rPr>
        <w:t>，</w:t>
      </w:r>
      <w:r>
        <w:rPr>
          <w:rFonts w:hint="eastAsia" w:ascii="仿宋" w:hAnsi="仿宋" w:eastAsia="仿宋" w:cs="仿宋"/>
          <w:sz w:val="32"/>
          <w:szCs w:val="32"/>
          <w:lang w:val="en-US" w:eastAsia="zh-CN"/>
        </w:rPr>
        <w:t>完成率100%。</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③时效指标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保险购买完成及时率，是指项目完成情况，用以反映和考核项目资金落实的及时性程度，年初目标值100%，分别于11月28日、12月18日完成购买。</w:t>
      </w:r>
    </w:p>
    <w:p>
      <w:pPr>
        <w:pStyle w:val="4"/>
        <w:numPr>
          <w:ilvl w:val="0"/>
          <w:numId w:val="0"/>
        </w:numPr>
        <w:bidi w:val="0"/>
        <w:jc w:val="left"/>
        <w:rPr>
          <w:rFonts w:hint="eastAsia" w:ascii="仿宋" w:hAnsi="仿宋" w:eastAsia="仿宋" w:cs="仿宋"/>
          <w:b w:val="0"/>
          <w:bCs/>
        </w:rPr>
      </w:pPr>
      <w:bookmarkStart w:id="8" w:name="_Toc22253"/>
      <w:r>
        <w:rPr>
          <w:rFonts w:hint="eastAsia" w:ascii="仿宋" w:hAnsi="仿宋" w:eastAsia="仿宋" w:cs="仿宋"/>
          <w:b w:val="0"/>
          <w:bCs/>
        </w:rPr>
        <w:t>（</w:t>
      </w:r>
      <w:r>
        <w:rPr>
          <w:rFonts w:hint="eastAsia" w:ascii="仿宋" w:hAnsi="仿宋" w:eastAsia="仿宋" w:cs="仿宋"/>
          <w:b w:val="0"/>
          <w:bCs/>
          <w:lang w:val="en-US" w:eastAsia="zh-CN"/>
        </w:rPr>
        <w:t>2</w:t>
      </w:r>
      <w:r>
        <w:rPr>
          <w:rFonts w:hint="eastAsia" w:ascii="仿宋" w:hAnsi="仿宋" w:eastAsia="仿宋" w:cs="仿宋"/>
          <w:b w:val="0"/>
          <w:bCs/>
        </w:rPr>
        <w:t>）</w:t>
      </w:r>
      <w:r>
        <w:rPr>
          <w:rFonts w:hint="eastAsia" w:ascii="仿宋" w:hAnsi="仿宋" w:eastAsia="仿宋" w:cs="仿宋"/>
          <w:b/>
          <w:bCs w:val="0"/>
        </w:rPr>
        <w:t>效益指标完成情况分析</w:t>
      </w:r>
      <w:bookmarkEnd w:id="8"/>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①经济效益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default" w:ascii="仿宋" w:hAnsi="仿宋" w:eastAsia="仿宋" w:cs="仿宋"/>
          <w:sz w:val="32"/>
          <w:szCs w:val="32"/>
          <w:lang w:val="en-US" w:eastAsia="zh-CN"/>
        </w:rPr>
      </w:pPr>
      <w:r>
        <w:rPr>
          <w:rFonts w:hint="default" w:ascii="仿宋" w:hAnsi="仿宋" w:eastAsia="仿宋" w:cs="仿宋"/>
          <w:sz w:val="32"/>
          <w:szCs w:val="32"/>
          <w:lang w:val="en-US" w:eastAsia="zh-CN"/>
        </w:rPr>
        <w:t>减轻补贴对象家庭经济负担</w:t>
      </w:r>
      <w:r>
        <w:rPr>
          <w:rFonts w:hint="eastAsia" w:ascii="仿宋" w:hAnsi="仿宋" w:eastAsia="仿宋" w:cs="仿宋"/>
          <w:sz w:val="32"/>
          <w:szCs w:val="32"/>
          <w:lang w:val="en-US" w:eastAsia="zh-CN"/>
        </w:rPr>
        <w:t>，指的是项目实施后，由区残联为残疾人购买医疗保险、承担乘车免费、居家托养等各项费用，为残疾人及其家庭减轻家庭经济负担。</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②社会效益</w:t>
      </w:r>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改善残疾人生活质量，指的是项目实施后为残疾人生活提供保障。为残疾人衣食住行、业教保医等方面的急难愁盼问题，推动残疾人社会保障制度和关爱服务体系日趋完善，残疾人各项救助补贴标准逐年提高，生活质量明显改善，迈入更高水平小康生活。</w:t>
      </w:r>
    </w:p>
    <w:p>
      <w:pPr>
        <w:pStyle w:val="4"/>
        <w:numPr>
          <w:ilvl w:val="0"/>
          <w:numId w:val="0"/>
        </w:numPr>
        <w:bidi w:val="0"/>
        <w:ind w:leftChars="0"/>
        <w:jc w:val="left"/>
        <w:rPr>
          <w:rFonts w:hint="eastAsia" w:ascii="仿宋" w:hAnsi="仿宋" w:eastAsia="仿宋" w:cs="仿宋"/>
          <w:b w:val="0"/>
          <w:bCs/>
        </w:rPr>
      </w:pPr>
      <w:bookmarkStart w:id="9" w:name="_Toc21447"/>
      <w:r>
        <w:rPr>
          <w:rFonts w:hint="eastAsia" w:ascii="仿宋" w:hAnsi="仿宋" w:eastAsia="仿宋" w:cs="仿宋"/>
          <w:b w:val="0"/>
          <w:bCs/>
        </w:rPr>
        <w:t>（</w:t>
      </w:r>
      <w:r>
        <w:rPr>
          <w:rFonts w:hint="eastAsia" w:ascii="仿宋" w:hAnsi="仿宋" w:eastAsia="仿宋" w:cs="仿宋"/>
          <w:b w:val="0"/>
          <w:bCs/>
          <w:lang w:val="en-US" w:eastAsia="zh-CN"/>
        </w:rPr>
        <w:t>3</w:t>
      </w:r>
      <w:r>
        <w:rPr>
          <w:rFonts w:hint="eastAsia" w:ascii="仿宋" w:hAnsi="仿宋" w:eastAsia="仿宋" w:cs="仿宋"/>
          <w:b w:val="0"/>
          <w:bCs/>
        </w:rPr>
        <w:t>）满意度指标完成情况分析</w:t>
      </w:r>
      <w:bookmarkEnd w:id="9"/>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lang w:val="en-US" w:eastAsia="zh-CN"/>
        </w:rPr>
      </w:pPr>
      <w:r>
        <w:rPr>
          <w:rFonts w:hint="eastAsia" w:ascii="仿宋" w:hAnsi="仿宋" w:eastAsia="仿宋" w:cs="仿宋"/>
          <w:sz w:val="32"/>
          <w:szCs w:val="32"/>
        </w:rPr>
        <w:t>被补贴对象满意度</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指的是该项目实施后服务对象满意度。残疾人对政策知晓率高，生活得到保障，残疾人对政策及服务满意度高。</w:t>
      </w:r>
    </w:p>
    <w:p>
      <w:pPr>
        <w:pStyle w:val="2"/>
        <w:bidi w:val="0"/>
        <w:rPr>
          <w:rFonts w:hint="eastAsia" w:ascii="仿宋" w:hAnsi="仿宋" w:eastAsia="仿宋" w:cs="仿宋"/>
          <w:lang w:val="en-US" w:eastAsia="zh-CN"/>
        </w:rPr>
      </w:pPr>
      <w:bookmarkStart w:id="10" w:name="_Toc29620"/>
      <w:r>
        <w:rPr>
          <w:rFonts w:hint="eastAsia" w:ascii="仿宋" w:hAnsi="仿宋" w:eastAsia="仿宋" w:cs="仿宋"/>
          <w:lang w:val="en-US" w:eastAsia="zh-CN"/>
        </w:rPr>
        <w:t>三、存在的问题和原因</w:t>
      </w:r>
      <w:bookmarkEnd w:id="10"/>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列举导致年度绩效目标未完成或发生偏离存在的问题和原因。</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及时支付余款，做好来年预算。在年底申报预算时，根据历年经验、人员实际配置和预计薪酬等，准确测算项目预算数。同时将合同约定的付款时间形成工作备忘，按照节点及时支付费用。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梳理项目内容，合理设置绩效目标。紧贴年度工作计划和要点，制定科学合理的绩效目标和年度指标值。通过本次自评，在第三方专业机构的辅导下，完善本项目绩效指标。</w:t>
      </w:r>
    </w:p>
    <w:p>
      <w:pPr>
        <w:pStyle w:val="2"/>
        <w:bidi w:val="0"/>
        <w:rPr>
          <w:rFonts w:hint="eastAsia" w:ascii="仿宋" w:hAnsi="仿宋" w:eastAsia="仿宋" w:cs="仿宋"/>
          <w:lang w:val="en-US" w:eastAsia="zh-CN"/>
        </w:rPr>
      </w:pPr>
      <w:bookmarkStart w:id="11" w:name="_Toc5103"/>
      <w:r>
        <w:rPr>
          <w:rFonts w:hint="eastAsia" w:ascii="仿宋" w:hAnsi="仿宋" w:eastAsia="仿宋" w:cs="仿宋"/>
          <w:lang w:val="en-US" w:eastAsia="zh-CN"/>
        </w:rPr>
        <w:t>四、下一步拟改进措施</w:t>
      </w:r>
      <w:bookmarkEnd w:id="11"/>
    </w:p>
    <w:p>
      <w:pPr>
        <w:pStyle w:val="3"/>
        <w:keepNext/>
        <w:keepLines/>
        <w:pageBreakBefore w:val="0"/>
        <w:widowControl w:val="0"/>
        <w:kinsoku/>
        <w:wordWrap/>
        <w:overflowPunct/>
        <w:topLinePunct w:val="0"/>
        <w:autoSpaceDE/>
        <w:autoSpaceDN/>
        <w:bidi w:val="0"/>
        <w:adjustRightInd/>
        <w:snapToGrid/>
        <w:spacing w:line="413" w:lineRule="auto"/>
        <w:ind w:firstLine="640" w:firstLineChars="200"/>
        <w:jc w:val="left"/>
        <w:textAlignment w:val="auto"/>
        <w:rPr>
          <w:rFonts w:hint="eastAsia" w:ascii="仿宋" w:hAnsi="仿宋" w:eastAsia="仿宋" w:cs="仿宋"/>
          <w:b w:val="0"/>
          <w:bCs/>
        </w:rPr>
      </w:pPr>
      <w:bookmarkStart w:id="12" w:name="_Toc10473"/>
      <w:r>
        <w:rPr>
          <w:rFonts w:hint="eastAsia" w:ascii="仿宋" w:hAnsi="仿宋" w:eastAsia="仿宋" w:cs="仿宋"/>
          <w:b w:val="0"/>
          <w:bCs/>
        </w:rPr>
        <w:t>1.下一步拟改进措施，包括项目整改和绩效目标调整完善等相关内容</w:t>
      </w:r>
      <w:bookmarkEnd w:id="12"/>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rPr>
        <w:t>提高预算编制水平，</w:t>
      </w:r>
      <w:r>
        <w:rPr>
          <w:rFonts w:hint="eastAsia" w:ascii="仿宋" w:hAnsi="仿宋" w:eastAsia="仿宋" w:cs="仿宋"/>
          <w:sz w:val="32"/>
          <w:szCs w:val="32"/>
          <w:lang w:eastAsia="zh-CN"/>
        </w:rPr>
        <w:t>加大</w:t>
      </w:r>
      <w:r>
        <w:rPr>
          <w:rFonts w:hint="eastAsia" w:ascii="仿宋" w:hAnsi="仿宋" w:eastAsia="仿宋" w:cs="仿宋"/>
          <w:sz w:val="32"/>
          <w:szCs w:val="32"/>
        </w:rPr>
        <w:t>预算编制审核力度，确保绩效目标申报表的完整性、准确性</w:t>
      </w:r>
      <w:r>
        <w:rPr>
          <w:rFonts w:hint="eastAsia" w:ascii="仿宋" w:hAnsi="仿宋" w:eastAsia="仿宋" w:cs="仿宋"/>
          <w:sz w:val="32"/>
          <w:szCs w:val="32"/>
          <w:lang w:eastAsia="zh-CN"/>
        </w:rPr>
        <w:t>。</w:t>
      </w:r>
      <w:r>
        <w:rPr>
          <w:rFonts w:hint="eastAsia" w:ascii="仿宋" w:hAnsi="仿宋" w:eastAsia="仿宋" w:cs="仿宋"/>
          <w:sz w:val="32"/>
          <w:szCs w:val="32"/>
        </w:rPr>
        <w:t>总结往年项目资金使用情况和项目实施效果，合理分配项目资金，预算执行过程中如有预算额度剩余，应执行预算调整程序调减项目预算</w:t>
      </w:r>
      <w:r>
        <w:rPr>
          <w:rFonts w:hint="eastAsia" w:ascii="仿宋" w:hAnsi="仿宋" w:eastAsia="仿宋" w:cs="仿宋"/>
          <w:sz w:val="32"/>
          <w:szCs w:val="32"/>
          <w:lang w:eastAsia="zh-CN"/>
        </w:rPr>
        <w:t>。严格按照项目实施内容和资金性质进行准确列支，杜绝随意改变预算资金的使用范围等行为发生，确保财政资金使用合规，提高预算执行真实性，落实财政过紧日子要求。</w:t>
      </w:r>
    </w:p>
    <w:p>
      <w:pPr>
        <w:pStyle w:val="3"/>
        <w:numPr>
          <w:ilvl w:val="0"/>
          <w:numId w:val="1"/>
        </w:numPr>
        <w:bidi w:val="0"/>
        <w:jc w:val="left"/>
        <w:rPr>
          <w:rFonts w:hint="eastAsia" w:ascii="仿宋" w:hAnsi="仿宋" w:eastAsia="仿宋" w:cs="仿宋"/>
          <w:sz w:val="32"/>
          <w:szCs w:val="32"/>
        </w:rPr>
      </w:pPr>
      <w:bookmarkStart w:id="13" w:name="_Toc26603"/>
      <w:r>
        <w:rPr>
          <w:rFonts w:hint="eastAsia" w:ascii="仿宋" w:hAnsi="仿宋" w:eastAsia="仿宋" w:cs="仿宋"/>
          <w:b w:val="0"/>
          <w:bCs/>
        </w:rPr>
        <w:t>与预算安排相结合情况</w:t>
      </w:r>
      <w:bookmarkEnd w:id="13"/>
    </w:p>
    <w:p>
      <w:pPr>
        <w:widowControl/>
        <w:spacing w:line="560" w:lineRule="exact"/>
        <w:ind w:firstLine="640" w:firstLineChars="200"/>
        <w:rPr>
          <w:rFonts w:hint="default" w:eastAsia="仿宋"/>
          <w:sz w:val="32"/>
          <w:szCs w:val="32"/>
          <w:highlight w:val="none"/>
          <w:lang w:val="en-US" w:eastAsia="zh-CN"/>
        </w:rPr>
      </w:pPr>
      <w:r>
        <w:rPr>
          <w:rFonts w:hint="eastAsia" w:eastAsia="仿宋"/>
          <w:sz w:val="32"/>
          <w:szCs w:val="32"/>
          <w:highlight w:val="none"/>
          <w:lang w:val="en-US" w:eastAsia="zh-CN"/>
        </w:rPr>
        <w:t>本次绩效自评结果作为下次编制预算基础，预算申报或预算调整时，将根据人员实际配置、薪酬，结合工作计划安排，更加准确地测算项目资金额。本项目绩效指标设置不够规范</w:t>
      </w:r>
      <w:r>
        <w:rPr>
          <w:rFonts w:eastAsia="仿宋"/>
          <w:sz w:val="32"/>
          <w:szCs w:val="32"/>
          <w:highlight w:val="none"/>
        </w:rPr>
        <w:t>。</w:t>
      </w:r>
      <w:r>
        <w:rPr>
          <w:rFonts w:hint="eastAsia" w:eastAsia="仿宋"/>
          <w:sz w:val="32"/>
          <w:szCs w:val="32"/>
          <w:highlight w:val="none"/>
          <w:lang w:val="en-US" w:eastAsia="zh-CN"/>
        </w:rPr>
        <w:t>通过本次自评，梳理项目内容，完善绩效指标编制。</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仿宋" w:hAnsi="仿宋" w:eastAsia="仿宋" w:cs="仿宋"/>
        </w:rPr>
      </w:pPr>
    </w:p>
    <w:p>
      <w:pPr>
        <w:pStyle w:val="2"/>
        <w:bidi w:val="0"/>
        <w:rPr>
          <w:rFonts w:hint="eastAsia" w:ascii="仿宋" w:hAnsi="仿宋" w:eastAsia="仿宋" w:cs="仿宋"/>
          <w:lang w:val="en-US" w:eastAsia="zh-CN"/>
        </w:rPr>
      </w:pPr>
      <w:bookmarkStart w:id="14" w:name="_Toc21576"/>
      <w:r>
        <w:rPr>
          <w:rFonts w:hint="eastAsia" w:ascii="仿宋" w:hAnsi="仿宋" w:eastAsia="仿宋" w:cs="仿宋"/>
          <w:lang w:val="en-US" w:eastAsia="zh-CN"/>
        </w:rPr>
        <w:t>五、评价结果</w:t>
      </w:r>
      <w:bookmarkEnd w:id="14"/>
    </w:p>
    <w:p>
      <w:pPr>
        <w:pStyle w:val="3"/>
        <w:keepNext/>
        <w:keepLines/>
        <w:pageBreakBefore w:val="0"/>
        <w:widowControl w:val="0"/>
        <w:numPr>
          <w:ilvl w:val="0"/>
          <w:numId w:val="2"/>
        </w:numPr>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rPr>
      </w:pPr>
      <w:bookmarkStart w:id="15" w:name="_Toc75633771"/>
      <w:bookmarkStart w:id="16" w:name="_Toc27000"/>
      <w:r>
        <w:rPr>
          <w:rFonts w:hint="eastAsia" w:ascii="仿宋" w:hAnsi="仿宋" w:eastAsia="仿宋" w:cs="仿宋"/>
          <w:b w:val="0"/>
          <w:bCs/>
        </w:rPr>
        <w:t>基本情况</w:t>
      </w:r>
      <w:bookmarkEnd w:id="15"/>
      <w:bookmarkEnd w:id="16"/>
      <w:bookmarkStart w:id="17" w:name="_Toc14165724"/>
      <w:bookmarkStart w:id="18" w:name="_Toc75633772"/>
    </w:p>
    <w:p>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rPr>
      </w:pPr>
      <w:bookmarkStart w:id="19" w:name="_Toc22466"/>
      <w:r>
        <w:rPr>
          <w:rFonts w:hint="eastAsia" w:ascii="仿宋" w:hAnsi="仿宋" w:eastAsia="仿宋" w:cs="仿宋"/>
          <w:b w:val="0"/>
          <w:bCs/>
          <w:lang w:eastAsia="zh-CN"/>
        </w:rPr>
        <w:t>（</w:t>
      </w:r>
      <w:r>
        <w:rPr>
          <w:rFonts w:hint="eastAsia" w:ascii="仿宋" w:hAnsi="仿宋" w:eastAsia="仿宋" w:cs="仿宋"/>
          <w:b w:val="0"/>
          <w:bCs/>
          <w:lang w:val="en-US" w:eastAsia="zh-CN"/>
        </w:rPr>
        <w:t>1</w:t>
      </w:r>
      <w:r>
        <w:rPr>
          <w:rFonts w:hint="eastAsia" w:ascii="仿宋" w:hAnsi="仿宋" w:eastAsia="仿宋" w:cs="仿宋"/>
          <w:b w:val="0"/>
          <w:bCs/>
          <w:lang w:eastAsia="zh-CN"/>
        </w:rPr>
        <w:t>）</w:t>
      </w:r>
      <w:r>
        <w:rPr>
          <w:rFonts w:hint="eastAsia" w:ascii="仿宋" w:hAnsi="仿宋" w:eastAsia="仿宋" w:cs="仿宋"/>
          <w:b w:val="0"/>
          <w:bCs/>
        </w:rPr>
        <w:t>项目立项背景和依据</w:t>
      </w:r>
      <w:bookmarkEnd w:id="17"/>
      <w:bookmarkEnd w:id="18"/>
      <w:bookmarkEnd w:id="19"/>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bookmarkStart w:id="20" w:name="_Toc3398"/>
      <w:bookmarkStart w:id="21" w:name="_Toc75633773"/>
      <w:bookmarkStart w:id="22" w:name="_Toc14165725"/>
      <w:r>
        <w:rPr>
          <w:rFonts w:hint="eastAsia" w:ascii="仿宋" w:hAnsi="仿宋" w:eastAsia="仿宋" w:cs="仿宋"/>
          <w:sz w:val="32"/>
          <w:szCs w:val="32"/>
          <w:lang w:val="en-US" w:eastAsia="zh-CN"/>
        </w:rPr>
        <w:t>1.《武汉市就读中专以上学校残疾学生和特困残疾人家庭子女学费补贴实施方案》（武残联【2012】21号）；</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2.《关于为严重丧失生活自理能力的残疾人购买居家服务工作的意见》（武残联[2011]66号）；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3.《关于开展智力残疾人托养服务工作实施方案》；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4.《关于为一户双（多）残低保家庭提供居家护理补贴工作的意见》（武残联【2015】22号）；                                         </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5.《市人民政府关于印发武汉市城乡居民基本医疗保险实施办法的通知》（武政规[2017]24号）。</w:t>
      </w:r>
    </w:p>
    <w:p>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r>
        <w:rPr>
          <w:rFonts w:hint="eastAsia" w:ascii="仿宋" w:hAnsi="仿宋" w:eastAsia="仿宋" w:cs="仿宋"/>
          <w:b w:val="0"/>
          <w:bCs/>
          <w:lang w:eastAsia="zh-CN"/>
        </w:rPr>
        <w:t>（</w:t>
      </w:r>
      <w:r>
        <w:rPr>
          <w:rFonts w:hint="eastAsia" w:ascii="仿宋" w:hAnsi="仿宋" w:eastAsia="仿宋" w:cs="仿宋"/>
          <w:b w:val="0"/>
          <w:bCs/>
          <w:lang w:val="en-US" w:eastAsia="zh-CN"/>
        </w:rPr>
        <w:t>2</w:t>
      </w:r>
      <w:r>
        <w:rPr>
          <w:rFonts w:hint="eastAsia" w:ascii="仿宋" w:hAnsi="仿宋" w:eastAsia="仿宋" w:cs="仿宋"/>
          <w:b w:val="0"/>
          <w:bCs/>
          <w:lang w:eastAsia="zh-CN"/>
        </w:rPr>
        <w:t>）项目绩效目标</w:t>
      </w:r>
      <w:bookmarkEnd w:id="20"/>
      <w:bookmarkEnd w:id="21"/>
      <w:bookmarkEnd w:id="22"/>
    </w:p>
    <w:p>
      <w:pPr>
        <w:keepNext w:val="0"/>
        <w:keepLines w:val="0"/>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lang w:eastAsia="zh-CN"/>
        </w:rPr>
      </w:pPr>
      <w:r>
        <w:rPr>
          <w:rFonts w:hint="eastAsia" w:ascii="仿宋" w:hAnsi="仿宋" w:eastAsia="仿宋"/>
          <w:sz w:val="32"/>
          <w:szCs w:val="32"/>
        </w:rPr>
        <w:t>为所有持证残疾人购买了群体意外伤害及补充医疗保险，将残疾人意外身故、疾病身故、意外伤害住院、疾病住院等纳入保险范围</w:t>
      </w:r>
      <w:r>
        <w:rPr>
          <w:rFonts w:hint="eastAsia" w:ascii="仿宋" w:hAnsi="仿宋" w:eastAsia="仿宋"/>
          <w:sz w:val="32"/>
          <w:szCs w:val="32"/>
          <w:lang w:eastAsia="zh-CN"/>
        </w:rPr>
        <w:t>。</w:t>
      </w:r>
    </w:p>
    <w:p>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bookmarkStart w:id="23" w:name="_Toc3522"/>
      <w:bookmarkStart w:id="24" w:name="_Toc75633774"/>
      <w:bookmarkStart w:id="25" w:name="_Toc14165726"/>
      <w:r>
        <w:rPr>
          <w:rFonts w:hint="eastAsia" w:ascii="仿宋" w:hAnsi="仿宋" w:eastAsia="仿宋" w:cs="仿宋"/>
          <w:b w:val="0"/>
          <w:bCs/>
          <w:lang w:eastAsia="zh-CN"/>
        </w:rPr>
        <w:t>（</w:t>
      </w:r>
      <w:r>
        <w:rPr>
          <w:rFonts w:hint="eastAsia" w:ascii="仿宋" w:hAnsi="仿宋" w:eastAsia="仿宋" w:cs="仿宋"/>
          <w:b w:val="0"/>
          <w:bCs/>
          <w:lang w:val="en-US" w:eastAsia="zh-CN"/>
        </w:rPr>
        <w:t>3</w:t>
      </w:r>
      <w:r>
        <w:rPr>
          <w:rFonts w:hint="eastAsia" w:ascii="仿宋" w:hAnsi="仿宋" w:eastAsia="仿宋" w:cs="仿宋"/>
          <w:b w:val="0"/>
          <w:bCs/>
          <w:lang w:eastAsia="zh-CN"/>
        </w:rPr>
        <w:t>）项目经费来源和使用情况</w:t>
      </w:r>
      <w:bookmarkEnd w:id="23"/>
      <w:bookmarkEnd w:id="24"/>
      <w:bookmarkEnd w:id="25"/>
    </w:p>
    <w:p>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项目资金来源</w:t>
      </w:r>
    </w:p>
    <w:p>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rPr>
        <w:t xml:space="preserve"> “</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rPr>
        <w:t>”为连续性、</w:t>
      </w:r>
      <w:r>
        <w:rPr>
          <w:rFonts w:hint="eastAsia" w:ascii="仿宋" w:hAnsi="仿宋" w:eastAsia="仿宋" w:cs="仿宋"/>
          <w:sz w:val="32"/>
          <w:szCs w:val="32"/>
          <w:lang w:val="en-US" w:eastAsia="zh-CN"/>
        </w:rPr>
        <w:t>常年性</w:t>
      </w:r>
      <w:r>
        <w:rPr>
          <w:rFonts w:hint="eastAsia" w:ascii="仿宋" w:hAnsi="仿宋" w:eastAsia="仿宋" w:cs="仿宋"/>
          <w:sz w:val="32"/>
          <w:szCs w:val="32"/>
        </w:rPr>
        <w:t>项目。项目年初预算数为</w:t>
      </w:r>
      <w:r>
        <w:rPr>
          <w:rFonts w:hint="eastAsia" w:ascii="仿宋" w:hAnsi="仿宋" w:eastAsia="仿宋" w:cs="仿宋"/>
          <w:sz w:val="32"/>
          <w:szCs w:val="32"/>
          <w:lang w:val="en-US" w:eastAsia="zh-CN"/>
        </w:rPr>
        <w:t>629.71</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 xml:space="preserve"> </w:t>
      </w:r>
      <w:r>
        <w:rPr>
          <w:rFonts w:hint="eastAsia" w:ascii="仿宋" w:hAnsi="仿宋" w:eastAsia="仿宋" w:cs="仿宋"/>
          <w:sz w:val="32"/>
          <w:szCs w:val="32"/>
        </w:rPr>
        <w:t>为</w:t>
      </w:r>
      <w:r>
        <w:rPr>
          <w:rFonts w:hint="eastAsia" w:ascii="仿宋" w:hAnsi="仿宋" w:eastAsia="仿宋" w:cs="仿宋"/>
          <w:sz w:val="32"/>
          <w:szCs w:val="32"/>
          <w:lang w:eastAsia="zh-CN"/>
        </w:rPr>
        <w:t>202</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年</w:t>
      </w:r>
      <w:r>
        <w:rPr>
          <w:rFonts w:hint="eastAsia" w:ascii="仿宋" w:hAnsi="仿宋" w:eastAsia="仿宋" w:cs="仿宋"/>
          <w:sz w:val="32"/>
          <w:szCs w:val="32"/>
        </w:rPr>
        <w:t>部门预算项目，均系财政拨款。</w:t>
      </w:r>
    </w:p>
    <w:p>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项目资金使用概况</w:t>
      </w:r>
    </w:p>
    <w:p>
      <w:pPr>
        <w:snapToGrid w:val="0"/>
        <w:spacing w:line="360" w:lineRule="auto"/>
        <w:ind w:firstLine="480"/>
        <w:rPr>
          <w:rFonts w:hint="eastAsia" w:ascii="仿宋" w:hAnsi="仿宋" w:eastAsia="仿宋" w:cs="仿宋"/>
          <w:sz w:val="32"/>
          <w:szCs w:val="32"/>
        </w:rPr>
      </w:pPr>
      <w:r>
        <w:rPr>
          <w:rFonts w:hint="eastAsia" w:ascii="仿宋" w:hAnsi="仿宋" w:eastAsia="仿宋" w:cs="仿宋"/>
          <w:sz w:val="32"/>
          <w:szCs w:val="32"/>
          <w:lang w:eastAsia="zh-CN"/>
        </w:rPr>
        <w:t>2022年</w:t>
      </w:r>
      <w:r>
        <w:rPr>
          <w:rFonts w:hint="eastAsia" w:ascii="仿宋" w:hAnsi="仿宋" w:eastAsia="仿宋" w:cs="仿宋"/>
          <w:sz w:val="32"/>
          <w:szCs w:val="32"/>
        </w:rPr>
        <w:t>“</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rPr>
        <w:t>”项目计划支出</w:t>
      </w:r>
      <w:r>
        <w:rPr>
          <w:rFonts w:hint="eastAsia" w:ascii="仿宋" w:hAnsi="仿宋" w:eastAsia="仿宋" w:cs="仿宋"/>
          <w:sz w:val="32"/>
          <w:szCs w:val="32"/>
          <w:lang w:val="en-US" w:eastAsia="zh-CN"/>
        </w:rPr>
        <w:t>629.71</w:t>
      </w:r>
      <w:r>
        <w:rPr>
          <w:rFonts w:hint="eastAsia" w:ascii="仿宋" w:hAnsi="仿宋" w:eastAsia="仿宋" w:cs="仿宋"/>
          <w:sz w:val="32"/>
          <w:szCs w:val="32"/>
        </w:rPr>
        <w:t>万元，实际支出为</w:t>
      </w:r>
      <w:r>
        <w:rPr>
          <w:rFonts w:hint="eastAsia" w:ascii="仿宋" w:hAnsi="仿宋" w:eastAsia="仿宋" w:cs="仿宋"/>
          <w:sz w:val="32"/>
          <w:szCs w:val="32"/>
          <w:lang w:eastAsia="zh-CN"/>
        </w:rPr>
        <w:t>530.76</w:t>
      </w:r>
      <w:r>
        <w:rPr>
          <w:rFonts w:hint="eastAsia" w:ascii="仿宋" w:hAnsi="仿宋" w:eastAsia="仿宋" w:cs="仿宋"/>
          <w:sz w:val="32"/>
          <w:szCs w:val="32"/>
        </w:rPr>
        <w:t>万元</w:t>
      </w:r>
      <w:r>
        <w:rPr>
          <w:rFonts w:hint="eastAsia" w:ascii="仿宋" w:hAnsi="仿宋" w:eastAsia="仿宋" w:cs="仿宋"/>
          <w:sz w:val="32"/>
          <w:szCs w:val="32"/>
          <w:lang w:eastAsia="zh-CN"/>
        </w:rPr>
        <w:t>，</w:t>
      </w:r>
      <w:r>
        <w:rPr>
          <w:rFonts w:hint="eastAsia" w:ascii="仿宋" w:hAnsi="仿宋" w:eastAsia="仿宋" w:cs="仿宋"/>
          <w:sz w:val="32"/>
          <w:szCs w:val="32"/>
        </w:rPr>
        <w:t>资金使用率为</w:t>
      </w:r>
      <w:r>
        <w:rPr>
          <w:rFonts w:hint="eastAsia" w:ascii="仿宋" w:hAnsi="仿宋" w:eastAsia="仿宋" w:cs="仿宋"/>
          <w:sz w:val="32"/>
          <w:szCs w:val="32"/>
          <w:lang w:val="en-US" w:eastAsia="zh-CN"/>
        </w:rPr>
        <w:t>84.29%</w:t>
      </w:r>
      <w:r>
        <w:rPr>
          <w:rFonts w:hint="eastAsia" w:ascii="仿宋" w:hAnsi="仿宋" w:eastAsia="仿宋" w:cs="仿宋"/>
          <w:sz w:val="32"/>
          <w:szCs w:val="32"/>
        </w:rPr>
        <w:t>。</w:t>
      </w:r>
    </w:p>
    <w:tbl>
      <w:tblPr>
        <w:tblStyle w:val="11"/>
        <w:tblW w:w="9140" w:type="dxa"/>
        <w:tblInd w:w="-3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20"/>
        <w:gridCol w:w="3922"/>
        <w:gridCol w:w="179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21" w:hRule="atLeast"/>
        </w:trPr>
        <w:tc>
          <w:tcPr>
            <w:tcW w:w="34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预算项目</w:t>
            </w:r>
          </w:p>
        </w:tc>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i w:val="0"/>
                <w:iCs w:val="0"/>
                <w:color w:val="000000"/>
                <w:sz w:val="28"/>
                <w:szCs w:val="28"/>
                <w:u w:val="none"/>
                <w:lang w:val="en-US"/>
              </w:rPr>
            </w:pPr>
            <w:r>
              <w:rPr>
                <w:rFonts w:hint="eastAsia" w:ascii="仿宋" w:hAnsi="仿宋" w:eastAsia="仿宋" w:cs="仿宋"/>
                <w:b/>
                <w:bCs/>
                <w:i w:val="0"/>
                <w:iCs w:val="0"/>
                <w:color w:val="000000"/>
                <w:kern w:val="0"/>
                <w:sz w:val="28"/>
                <w:szCs w:val="28"/>
                <w:u w:val="none"/>
                <w:lang w:val="en-US" w:eastAsia="zh-CN" w:bidi="ar"/>
              </w:rPr>
              <w:t>经济科目</w:t>
            </w:r>
          </w:p>
        </w:tc>
        <w:tc>
          <w:tcPr>
            <w:tcW w:w="1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执行数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5" w:hRule="atLeast"/>
        </w:trPr>
        <w:tc>
          <w:tcPr>
            <w:tcW w:w="3420"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残疾人托底保障专项经费</w:t>
            </w:r>
          </w:p>
        </w:tc>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代缴社会保险费</w:t>
            </w:r>
          </w:p>
        </w:tc>
        <w:tc>
          <w:tcPr>
            <w:tcW w:w="1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335.41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8" w:hRule="atLeast"/>
        </w:trPr>
        <w:tc>
          <w:tcPr>
            <w:tcW w:w="3420"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sz w:val="28"/>
                <w:szCs w:val="28"/>
                <w:u w:val="none"/>
              </w:rPr>
            </w:pPr>
          </w:p>
        </w:tc>
        <w:tc>
          <w:tcPr>
            <w:tcW w:w="39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其他对个人和家庭的补助</w:t>
            </w:r>
          </w:p>
        </w:tc>
        <w:tc>
          <w:tcPr>
            <w:tcW w:w="1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195.35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7342"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合计</w:t>
            </w:r>
          </w:p>
        </w:tc>
        <w:tc>
          <w:tcPr>
            <w:tcW w:w="17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i w:val="0"/>
                <w:iCs w:val="0"/>
                <w:color w:val="000000"/>
                <w:kern w:val="0"/>
                <w:sz w:val="28"/>
                <w:szCs w:val="28"/>
                <w:u w:val="none"/>
                <w:lang w:val="en-US" w:eastAsia="zh-CN" w:bidi="ar"/>
              </w:rPr>
            </w:pPr>
            <w:r>
              <w:rPr>
                <w:rFonts w:hint="eastAsia" w:ascii="仿宋" w:hAnsi="仿宋" w:eastAsia="仿宋" w:cs="仿宋"/>
                <w:i w:val="0"/>
                <w:iCs w:val="0"/>
                <w:color w:val="000000"/>
                <w:kern w:val="0"/>
                <w:sz w:val="28"/>
                <w:szCs w:val="28"/>
                <w:u w:val="none"/>
                <w:lang w:val="en-US" w:eastAsia="zh-CN" w:bidi="ar"/>
              </w:rPr>
              <w:t>530.76</w:t>
            </w:r>
          </w:p>
        </w:tc>
      </w:tr>
    </w:tbl>
    <w:p>
      <w:pPr>
        <w:snapToGrid w:val="0"/>
        <w:spacing w:line="360" w:lineRule="auto"/>
        <w:rPr>
          <w:rFonts w:hint="eastAsia" w:ascii="仿宋" w:hAnsi="仿宋" w:eastAsia="仿宋" w:cs="仿宋"/>
          <w:sz w:val="32"/>
          <w:szCs w:val="32"/>
        </w:rPr>
      </w:pPr>
    </w:p>
    <w:p>
      <w:pPr>
        <w:pStyle w:val="3"/>
        <w:keepNext/>
        <w:keepLines/>
        <w:pageBreakBefore w:val="0"/>
        <w:widowControl w:val="0"/>
        <w:numPr>
          <w:ilvl w:val="0"/>
          <w:numId w:val="0"/>
        </w:numPr>
        <w:kinsoku/>
        <w:wordWrap/>
        <w:overflowPunct/>
        <w:topLinePunct w:val="0"/>
        <w:autoSpaceDE/>
        <w:autoSpaceDN/>
        <w:bidi w:val="0"/>
        <w:adjustRightInd/>
        <w:snapToGrid/>
        <w:spacing w:line="413" w:lineRule="auto"/>
        <w:textAlignment w:val="auto"/>
        <w:rPr>
          <w:rFonts w:hint="eastAsia" w:ascii="仿宋" w:hAnsi="仿宋" w:eastAsia="仿宋" w:cs="仿宋"/>
          <w:b w:val="0"/>
          <w:bCs/>
          <w:lang w:eastAsia="zh-CN"/>
        </w:rPr>
      </w:pPr>
      <w:bookmarkStart w:id="26" w:name="_Toc680"/>
      <w:r>
        <w:rPr>
          <w:rFonts w:hint="eastAsia" w:ascii="仿宋" w:hAnsi="仿宋" w:eastAsia="仿宋" w:cs="仿宋"/>
          <w:b w:val="0"/>
          <w:bCs/>
          <w:lang w:eastAsia="zh-CN"/>
        </w:rPr>
        <w:t>（</w:t>
      </w:r>
      <w:r>
        <w:rPr>
          <w:rFonts w:hint="eastAsia" w:ascii="仿宋" w:hAnsi="仿宋" w:eastAsia="仿宋" w:cs="仿宋"/>
          <w:b w:val="0"/>
          <w:bCs/>
          <w:lang w:val="en-US" w:eastAsia="zh-CN"/>
        </w:rPr>
        <w:t>4</w:t>
      </w:r>
      <w:r>
        <w:rPr>
          <w:rFonts w:hint="eastAsia" w:ascii="仿宋" w:hAnsi="仿宋" w:eastAsia="仿宋" w:cs="仿宋"/>
          <w:b w:val="0"/>
          <w:bCs/>
          <w:lang w:eastAsia="zh-CN"/>
        </w:rPr>
        <w:t>）项目实施情况</w:t>
      </w:r>
      <w:bookmarkEnd w:id="26"/>
    </w:p>
    <w:p>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1、项目实施单位：武汉市蔡甸区残疾人联合会</w:t>
      </w:r>
    </w:p>
    <w:p>
      <w:pPr>
        <w:pageBreakBefore w:val="0"/>
        <w:widowControl w:val="0"/>
        <w:numPr>
          <w:ilvl w:val="0"/>
          <w:numId w:val="0"/>
        </w:numPr>
        <w:kinsoku/>
        <w:wordWrap/>
        <w:overflowPunct/>
        <w:topLinePunct w:val="0"/>
        <w:autoSpaceDE/>
        <w:autoSpaceDN/>
        <w:bidi w:val="0"/>
        <w:adjustRightInd/>
        <w:snapToGrid/>
        <w:ind w:leftChars="0"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w:t>
      </w:r>
      <w:r>
        <w:rPr>
          <w:rFonts w:hint="eastAsia" w:ascii="仿宋" w:hAnsi="仿宋" w:eastAsia="仿宋" w:cs="仿宋"/>
          <w:sz w:val="32"/>
          <w:szCs w:val="32"/>
          <w:lang w:eastAsia="zh-CN"/>
        </w:rPr>
        <w:t>残疾人托底保障专项经费</w:t>
      </w:r>
      <w:r>
        <w:rPr>
          <w:rFonts w:hint="eastAsia" w:ascii="仿宋" w:hAnsi="仿宋" w:eastAsia="仿宋" w:cs="仿宋"/>
          <w:sz w:val="32"/>
          <w:szCs w:val="32"/>
          <w:lang w:val="en-US" w:eastAsia="zh-CN"/>
        </w:rPr>
        <w:t>”项目主要内容：</w:t>
      </w:r>
      <w:r>
        <w:rPr>
          <w:rFonts w:hint="eastAsia" w:ascii="仿宋" w:hAnsi="仿宋" w:eastAsia="仿宋"/>
          <w:sz w:val="32"/>
          <w:szCs w:val="32"/>
        </w:rPr>
        <w:t>所有持证残疾人购买了群体意外伤害及补充医疗保险</w:t>
      </w:r>
      <w:r>
        <w:rPr>
          <w:rFonts w:hint="eastAsia" w:ascii="仿宋" w:hAnsi="仿宋" w:eastAsia="仿宋"/>
          <w:sz w:val="32"/>
          <w:szCs w:val="32"/>
          <w:lang w:eastAsia="zh-CN"/>
        </w:rPr>
        <w:t>、</w:t>
      </w:r>
      <w:r>
        <w:rPr>
          <w:rFonts w:hint="eastAsia" w:ascii="仿宋" w:hAnsi="仿宋" w:eastAsia="仿宋"/>
          <w:sz w:val="32"/>
          <w:szCs w:val="32"/>
          <w:lang w:val="en-US" w:eastAsia="zh-CN"/>
        </w:rPr>
        <w:t>残疾人托养服务、居家托养等经费支出</w:t>
      </w:r>
      <w:r>
        <w:rPr>
          <w:rFonts w:hint="eastAsia" w:ascii="仿宋" w:hAnsi="仿宋" w:eastAsia="仿宋" w:cs="仿宋"/>
          <w:sz w:val="32"/>
          <w:szCs w:val="32"/>
          <w:lang w:val="en-US" w:eastAsia="zh-CN"/>
        </w:rPr>
        <w:t>。</w:t>
      </w:r>
    </w:p>
    <w:p>
      <w:pPr>
        <w:pStyle w:val="3"/>
        <w:keepNext/>
        <w:keepLines/>
        <w:pageBreakBefore w:val="0"/>
        <w:widowControl w:val="0"/>
        <w:kinsoku/>
        <w:wordWrap/>
        <w:overflowPunct/>
        <w:topLinePunct w:val="0"/>
        <w:autoSpaceDE/>
        <w:autoSpaceDN/>
        <w:bidi w:val="0"/>
        <w:adjustRightInd/>
        <w:snapToGrid/>
        <w:spacing w:line="413" w:lineRule="auto"/>
        <w:ind w:firstLine="640" w:firstLineChars="200"/>
        <w:textAlignment w:val="auto"/>
        <w:rPr>
          <w:rFonts w:hint="eastAsia" w:ascii="仿宋" w:hAnsi="仿宋" w:eastAsia="仿宋" w:cs="仿宋"/>
          <w:b w:val="0"/>
          <w:bCs/>
          <w:lang w:val="en-US" w:eastAsia="zh-CN"/>
        </w:rPr>
      </w:pPr>
      <w:bookmarkStart w:id="27" w:name="_Toc29849"/>
      <w:r>
        <w:rPr>
          <w:rFonts w:hint="eastAsia" w:ascii="仿宋" w:hAnsi="仿宋" w:eastAsia="仿宋" w:cs="仿宋"/>
          <w:b w:val="0"/>
          <w:bCs/>
          <w:lang w:val="en-US" w:eastAsia="zh-CN"/>
        </w:rPr>
        <w:t>（二）部门自评工作开展情况</w:t>
      </w:r>
      <w:bookmarkEnd w:id="27"/>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40"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z w:val="32"/>
          <w:szCs w:val="32"/>
          <w:lang w:val="en-US" w:eastAsia="zh-CN"/>
        </w:rPr>
        <w:t>按照《蔡甸区财政局关于开展2024年区级财政支出绩效评价工作的通知》蔡财〔2024〕1号中关于开展财政资金绩效自评工作的要求，积极开展绩效自评工作。</w:t>
      </w:r>
      <w:r>
        <w:rPr>
          <w:rFonts w:hint="eastAsia" w:ascii="仿宋" w:hAnsi="仿宋" w:eastAsia="仿宋" w:cs="仿宋"/>
          <w:spacing w:val="7"/>
          <w:sz w:val="32"/>
          <w:szCs w:val="32"/>
          <w:lang w:val="en-US" w:eastAsia="zh-CN"/>
        </w:rPr>
        <w:t>1.评价目的、对象、范围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1）评价目的：通过绩效评价全面了解、分析蔡甸区残疾人联合会残疾人托底保障专项经费项目资金使用、管理和项目实施情况及所取得的成效，进一步规范资金管理行为，提高资金使用效益，不断提高综合服务水平，保障服务工作建设的可持续发展。</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（2）评价对象：残疾人托底保障专项经费项目资金使用绩效。</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（3）评价范围：残疾人托底保障专项经费项目的资金管理、使用情况及效果。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2.评价抽样情况、评价方法、时间安排</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（1）抽样情况：项目单位提报项目资金支出金额为530.76元。抽查凭证附件主要包括事前审批单、发票、合同、招标文件、会议纪要等资料。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（2）评价方法。根据项目实际情况，本次评价方法主要包括比较法、因素分析法、公众评判法。</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①比较法：将实施情况与绩效目标、历史情况、不同部门和地区同类支出情况进行比较。</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②因素分析法：综合分析影响绩效目标实现、实施效果的内外部因素。</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③公众评判法：通过专家评估、公众问卷及抽样调查等方式进行评判。</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（3）时间安排。</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①前期准备阶段。时间安排为2024年3月12日—2024年3月15日，主要是与委托单位沟通，明确评价目的、对象和范围，告知评价方法，获得单位的支持；收集项目政策文件、单位职责 文件、内部控制文件、预算及绩效申报、资金收支资料、绩效自评及完成情况支撑材料。</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②设计绩效评价指标体系。时间安排为2024年3月16日，主要是学习项目政策要求，对收集的其他资料进行检查，根据项 目特点设计绩效评价指标体系、确定评价方法和评价标准，根据充分性、可靠性、相关性的要求，编制资料清单提交项目单位。</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pacing w:val="7"/>
          <w:sz w:val="32"/>
          <w:szCs w:val="32"/>
          <w:lang w:val="en-US" w:eastAsia="zh-CN"/>
        </w:rPr>
      </w:pPr>
      <w:r>
        <w:rPr>
          <w:rFonts w:hint="eastAsia" w:ascii="仿宋" w:hAnsi="仿宋" w:eastAsia="仿宋" w:cs="仿宋"/>
          <w:spacing w:val="7"/>
          <w:sz w:val="32"/>
          <w:szCs w:val="32"/>
          <w:lang w:val="en-US" w:eastAsia="zh-CN"/>
        </w:rPr>
        <w:t>③实施绩效评价。时间安排为2024年3月16日—2024年3月20日，主要是按资料清单收集评价资料，用文件检查、问卷调查、访谈、观察等方法，收集适当的实物资料、口头资料、书面资料和分析性资料；对评价资料进行复核，判断已收集的资料是否充分、可靠和相关，并形成评价结论；与项目单位进行沟通，对评价指标目标值与实际值的差异情况、产生原因与预期后果等进行具体分析，查找项目单位预算绩效管理存在的问题，分析问题产生的原因和结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668" w:firstLineChars="200"/>
        <w:textAlignment w:val="baseline"/>
        <w:rPr>
          <w:rFonts w:hint="eastAsia" w:ascii="仿宋" w:hAnsi="仿宋" w:eastAsia="仿宋" w:cs="仿宋"/>
          <w:sz w:val="32"/>
          <w:szCs w:val="32"/>
          <w:lang w:val="en-US" w:eastAsia="zh-CN"/>
        </w:rPr>
      </w:pPr>
      <w:r>
        <w:rPr>
          <w:rFonts w:hint="eastAsia" w:ascii="仿宋" w:hAnsi="仿宋" w:eastAsia="仿宋" w:cs="仿宋"/>
          <w:spacing w:val="7"/>
          <w:sz w:val="32"/>
          <w:szCs w:val="32"/>
          <w:lang w:val="en-US" w:eastAsia="zh-CN"/>
        </w:rPr>
        <w:t>④撰写绩效评价报告。时间安排为2024年3月20日—2024年3月26日，主要是撰写绩效评价报告，提出评价建议，与项目单位进行充分沟通，考虑是否有必要对评价报告做进一步改进，出具正式评价报告。</w:t>
      </w:r>
    </w:p>
    <w:p>
      <w:pPr>
        <w:pStyle w:val="3"/>
        <w:bidi w:val="0"/>
        <w:spacing w:line="240" w:lineRule="auto"/>
        <w:rPr>
          <w:rFonts w:hint="eastAsia" w:ascii="仿宋" w:hAnsi="仿宋" w:eastAsia="仿宋" w:cs="仿宋"/>
          <w:b w:val="0"/>
          <w:bCs/>
          <w:lang w:val="en-US" w:eastAsia="zh-CN"/>
        </w:rPr>
      </w:pPr>
      <w:bookmarkStart w:id="28" w:name="_Toc20937"/>
      <w:r>
        <w:rPr>
          <w:rFonts w:hint="eastAsia" w:ascii="仿宋" w:hAnsi="仿宋" w:eastAsia="仿宋" w:cs="仿宋"/>
          <w:b w:val="0"/>
          <w:bCs/>
          <w:lang w:val="en-US" w:eastAsia="zh-CN"/>
        </w:rPr>
        <w:t>（三）绩效评价结果</w:t>
      </w:r>
      <w:bookmarkEnd w:id="28"/>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“残疾人托底保障专项经费”项目</w:t>
      </w:r>
      <w:r>
        <w:rPr>
          <w:rFonts w:hint="eastAsia" w:ascii="仿宋" w:hAnsi="仿宋" w:eastAsia="仿宋" w:cs="仿宋"/>
          <w:sz w:val="32"/>
          <w:szCs w:val="32"/>
          <w:lang w:val="en-US" w:eastAsia="zh-CN"/>
        </w:rPr>
        <w:t>年初设定</w:t>
      </w:r>
      <w:r>
        <w:rPr>
          <w:rFonts w:hint="eastAsia" w:ascii="仿宋" w:hAnsi="仿宋" w:eastAsia="仿宋" w:cs="仿宋"/>
          <w:sz w:val="32"/>
          <w:szCs w:val="32"/>
          <w:lang w:eastAsia="zh-CN"/>
        </w:rPr>
        <w:t>绩效目标完成，</w:t>
      </w:r>
      <w:r>
        <w:rPr>
          <w:rFonts w:hint="eastAsia" w:ascii="仿宋" w:hAnsi="仿宋" w:eastAsia="仿宋" w:cs="仿宋"/>
          <w:sz w:val="32"/>
          <w:szCs w:val="32"/>
          <w:lang w:val="en-US" w:eastAsia="zh-CN"/>
        </w:rPr>
        <w:t>预算执行率84.29%，项目执行情况良好</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附：2023年度残疾人托底保障专项经费项目自评表</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仿宋" w:hAnsi="仿宋" w:eastAsia="仿宋" w:cs="仿宋"/>
          <w:sz w:val="28"/>
          <w:szCs w:val="28"/>
          <w:lang w:val="en-US" w:eastAsia="zh-CN"/>
        </w:rPr>
      </w:pPr>
      <w:r>
        <w:rPr>
          <w:rFonts w:hint="eastAsia" w:ascii="仿宋" w:hAnsi="仿宋" w:eastAsia="仿宋" w:cs="仿宋"/>
          <w:sz w:val="32"/>
          <w:szCs w:val="32"/>
          <w:lang w:val="en-US" w:eastAsia="zh-CN"/>
        </w:rPr>
        <w:t>2023年度残疾人托底保障专项经费项目自评表</w:t>
      </w:r>
    </w:p>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lang w:val="en-US" w:eastAsia="zh-CN"/>
        </w:rPr>
      </w:pPr>
      <w:r>
        <w:rPr>
          <w:rFonts w:hint="eastAsia" w:ascii="仿宋" w:hAnsi="仿宋" w:eastAsia="仿宋" w:cs="仿宋"/>
          <w:sz w:val="28"/>
          <w:szCs w:val="28"/>
          <w:lang w:val="en-US" w:eastAsia="zh-CN"/>
        </w:rPr>
        <w:t xml:space="preserve">单位名称：武汉市蔡甸区残疾人联合会  </w:t>
      </w:r>
      <w:r>
        <w:rPr>
          <w:rFonts w:hint="eastAsia" w:ascii="仿宋" w:hAnsi="仿宋" w:eastAsia="仿宋" w:cs="仿宋"/>
          <w:sz w:val="24"/>
          <w:szCs w:val="24"/>
          <w:lang w:val="en-US" w:eastAsia="zh-CN"/>
        </w:rPr>
        <w:t xml:space="preserve"> 填报日期：2024年3月16日</w:t>
      </w:r>
      <w:r>
        <w:rPr>
          <w:rFonts w:hint="eastAsia" w:ascii="仿宋" w:hAnsi="仿宋" w:eastAsia="仿宋" w:cs="仿宋"/>
          <w:sz w:val="24"/>
          <w:szCs w:val="24"/>
          <w:lang w:val="en-US" w:eastAsia="zh-CN"/>
        </w:rPr>
        <w:tab/>
      </w:r>
    </w:p>
    <w:tbl>
      <w:tblPr>
        <w:tblW w:w="5573" w:type="pct"/>
        <w:tblInd w:w="-40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767"/>
        <w:gridCol w:w="731"/>
        <w:gridCol w:w="973"/>
        <w:gridCol w:w="1163"/>
        <w:gridCol w:w="464"/>
        <w:gridCol w:w="1678"/>
        <w:gridCol w:w="712"/>
        <w:gridCol w:w="621"/>
        <w:gridCol w:w="845"/>
        <w:gridCol w:w="15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12" w:hRule="atLeast"/>
        </w:trPr>
        <w:tc>
          <w:tcPr>
            <w:tcW w:w="789"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项目名称</w:t>
            </w:r>
          </w:p>
        </w:tc>
        <w:tc>
          <w:tcPr>
            <w:tcW w:w="4210" w:type="pct"/>
            <w:gridSpan w:val="8"/>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残疾人托底保障专项经费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789"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主管部门</w:t>
            </w:r>
          </w:p>
        </w:tc>
        <w:tc>
          <w:tcPr>
            <w:tcW w:w="2251" w:type="pct"/>
            <w:gridSpan w:val="4"/>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武汉市蔡甸区残疾人联合会</w:t>
            </w:r>
          </w:p>
        </w:tc>
        <w:tc>
          <w:tcPr>
            <w:tcW w:w="70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项目实施单位</w:t>
            </w:r>
          </w:p>
        </w:tc>
        <w:tc>
          <w:tcPr>
            <w:tcW w:w="12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武汉市蔡甸区残疾人联合会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 w:hRule="atLeast"/>
        </w:trPr>
        <w:tc>
          <w:tcPr>
            <w:tcW w:w="789" w:type="pct"/>
            <w:gridSpan w:val="2"/>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预算执行情况    （万元）</w:t>
            </w:r>
          </w:p>
        </w:tc>
        <w:tc>
          <w:tcPr>
            <w:tcW w:w="1124"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资金来源</w:t>
            </w:r>
          </w:p>
        </w:tc>
        <w:tc>
          <w:tcPr>
            <w:tcW w:w="1501" w:type="pct"/>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预算数（A）</w:t>
            </w:r>
          </w:p>
        </w:tc>
        <w:tc>
          <w:tcPr>
            <w:tcW w:w="77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执行数（B）</w:t>
            </w:r>
          </w:p>
        </w:tc>
        <w:tc>
          <w:tcPr>
            <w:tcW w:w="81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执行率（B/A）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789"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1124"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firstLineChars="20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一般预算内拨款</w:t>
            </w:r>
          </w:p>
        </w:tc>
        <w:tc>
          <w:tcPr>
            <w:tcW w:w="1501" w:type="pct"/>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629.71 </w:t>
            </w:r>
          </w:p>
        </w:tc>
        <w:tc>
          <w:tcPr>
            <w:tcW w:w="77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530.76 </w:t>
            </w:r>
          </w:p>
        </w:tc>
        <w:tc>
          <w:tcPr>
            <w:tcW w:w="81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84.29%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2" w:hRule="atLeast"/>
        </w:trPr>
        <w:tc>
          <w:tcPr>
            <w:tcW w:w="789" w:type="pct"/>
            <w:gridSpan w:val="2"/>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1124"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合计</w:t>
            </w:r>
          </w:p>
        </w:tc>
        <w:tc>
          <w:tcPr>
            <w:tcW w:w="1501" w:type="pct"/>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629.71 </w:t>
            </w:r>
          </w:p>
        </w:tc>
        <w:tc>
          <w:tcPr>
            <w:tcW w:w="77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 xml:space="preserve">530.76 </w:t>
            </w:r>
          </w:p>
        </w:tc>
        <w:tc>
          <w:tcPr>
            <w:tcW w:w="811"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84.29%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0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年度绩效目标完成情况</w:t>
            </w:r>
          </w:p>
        </w:tc>
        <w:tc>
          <w:tcPr>
            <w:tcW w:w="38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一级指标</w:t>
            </w:r>
          </w:p>
        </w:tc>
        <w:tc>
          <w:tcPr>
            <w:tcW w:w="51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二级指标</w:t>
            </w:r>
          </w:p>
        </w:tc>
        <w:tc>
          <w:tcPr>
            <w:tcW w:w="8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三级指标</w:t>
            </w:r>
          </w:p>
        </w:tc>
        <w:tc>
          <w:tcPr>
            <w:tcW w:w="8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年初目标值</w:t>
            </w:r>
          </w:p>
        </w:tc>
        <w:tc>
          <w:tcPr>
            <w:tcW w:w="70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实际完成值</w:t>
            </w:r>
          </w:p>
        </w:tc>
        <w:tc>
          <w:tcPr>
            <w:tcW w:w="12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未完成原因及改进措施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38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产出指标</w:t>
            </w:r>
          </w:p>
        </w:tc>
        <w:tc>
          <w:tcPr>
            <w:tcW w:w="512"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数量指标</w:t>
            </w:r>
          </w:p>
        </w:tc>
        <w:tc>
          <w:tcPr>
            <w:tcW w:w="8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残疾人托养服务</w:t>
            </w:r>
          </w:p>
        </w:tc>
        <w:tc>
          <w:tcPr>
            <w:tcW w:w="8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30人</w:t>
            </w:r>
          </w:p>
        </w:tc>
        <w:tc>
          <w:tcPr>
            <w:tcW w:w="70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30人</w:t>
            </w:r>
          </w:p>
        </w:tc>
        <w:tc>
          <w:tcPr>
            <w:tcW w:w="12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4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3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8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一户（双）多残低保家庭补贴</w:t>
            </w:r>
          </w:p>
        </w:tc>
        <w:tc>
          <w:tcPr>
            <w:tcW w:w="8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130人</w:t>
            </w:r>
          </w:p>
        </w:tc>
        <w:tc>
          <w:tcPr>
            <w:tcW w:w="70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136人</w:t>
            </w:r>
          </w:p>
        </w:tc>
        <w:tc>
          <w:tcPr>
            <w:tcW w:w="12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3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8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残疾人驾照补贴</w:t>
            </w:r>
          </w:p>
        </w:tc>
        <w:tc>
          <w:tcPr>
            <w:tcW w:w="8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≥5人</w:t>
            </w:r>
          </w:p>
        </w:tc>
        <w:tc>
          <w:tcPr>
            <w:tcW w:w="70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7人</w:t>
            </w:r>
          </w:p>
        </w:tc>
        <w:tc>
          <w:tcPr>
            <w:tcW w:w="12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4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3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8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听力、言语残疾人补贴人数</w:t>
            </w:r>
          </w:p>
        </w:tc>
        <w:tc>
          <w:tcPr>
            <w:tcW w:w="8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1200人</w:t>
            </w:r>
          </w:p>
        </w:tc>
        <w:tc>
          <w:tcPr>
            <w:tcW w:w="70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1230人</w:t>
            </w:r>
          </w:p>
        </w:tc>
        <w:tc>
          <w:tcPr>
            <w:tcW w:w="12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3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8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居家服务人数</w:t>
            </w:r>
          </w:p>
        </w:tc>
        <w:tc>
          <w:tcPr>
            <w:tcW w:w="8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140人</w:t>
            </w:r>
          </w:p>
        </w:tc>
        <w:tc>
          <w:tcPr>
            <w:tcW w:w="70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140人</w:t>
            </w:r>
          </w:p>
        </w:tc>
        <w:tc>
          <w:tcPr>
            <w:tcW w:w="12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3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512"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8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购买残疾人意外伤害及补充医疗保险人数</w:t>
            </w:r>
          </w:p>
        </w:tc>
        <w:tc>
          <w:tcPr>
            <w:tcW w:w="8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1.3万人</w:t>
            </w:r>
          </w:p>
        </w:tc>
        <w:tc>
          <w:tcPr>
            <w:tcW w:w="70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1.3万人</w:t>
            </w:r>
          </w:p>
        </w:tc>
        <w:tc>
          <w:tcPr>
            <w:tcW w:w="12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3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512" w:type="pct"/>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质量指标</w:t>
            </w:r>
          </w:p>
        </w:tc>
        <w:tc>
          <w:tcPr>
            <w:tcW w:w="8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残疾人保险覆盖率</w:t>
            </w:r>
          </w:p>
        </w:tc>
        <w:tc>
          <w:tcPr>
            <w:tcW w:w="8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100%</w:t>
            </w:r>
          </w:p>
        </w:tc>
        <w:tc>
          <w:tcPr>
            <w:tcW w:w="70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100%</w:t>
            </w:r>
          </w:p>
        </w:tc>
        <w:tc>
          <w:tcPr>
            <w:tcW w:w="12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4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3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时效指标</w:t>
            </w:r>
          </w:p>
        </w:tc>
        <w:tc>
          <w:tcPr>
            <w:tcW w:w="8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保险购买完成及时率</w:t>
            </w:r>
          </w:p>
        </w:tc>
        <w:tc>
          <w:tcPr>
            <w:tcW w:w="8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100%</w:t>
            </w:r>
          </w:p>
        </w:tc>
        <w:tc>
          <w:tcPr>
            <w:tcW w:w="70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100%</w:t>
            </w:r>
          </w:p>
        </w:tc>
        <w:tc>
          <w:tcPr>
            <w:tcW w:w="12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4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384" w:type="pct"/>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效益指标</w:t>
            </w:r>
          </w:p>
        </w:tc>
        <w:tc>
          <w:tcPr>
            <w:tcW w:w="51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经济效益指标</w:t>
            </w:r>
          </w:p>
        </w:tc>
        <w:tc>
          <w:tcPr>
            <w:tcW w:w="8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减轻补贴对象家庭经济负担</w:t>
            </w:r>
          </w:p>
        </w:tc>
        <w:tc>
          <w:tcPr>
            <w:tcW w:w="8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减轻</w:t>
            </w:r>
          </w:p>
        </w:tc>
        <w:tc>
          <w:tcPr>
            <w:tcW w:w="70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得到减轻</w:t>
            </w:r>
          </w:p>
        </w:tc>
        <w:tc>
          <w:tcPr>
            <w:tcW w:w="12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4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38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51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社会效益指标</w:t>
            </w:r>
          </w:p>
        </w:tc>
        <w:tc>
          <w:tcPr>
            <w:tcW w:w="8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改善残疾人生活质量</w:t>
            </w:r>
          </w:p>
        </w:tc>
        <w:tc>
          <w:tcPr>
            <w:tcW w:w="8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可持续</w:t>
            </w:r>
          </w:p>
        </w:tc>
        <w:tc>
          <w:tcPr>
            <w:tcW w:w="70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可持续</w:t>
            </w:r>
          </w:p>
        </w:tc>
        <w:tc>
          <w:tcPr>
            <w:tcW w:w="12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7" w:hRule="atLeast"/>
        </w:trPr>
        <w:tc>
          <w:tcPr>
            <w:tcW w:w="404" w:type="pct"/>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仿宋" w:hAnsi="仿宋" w:eastAsia="仿宋" w:cs="仿宋"/>
                <w:i w:val="0"/>
                <w:iCs w:val="0"/>
                <w:color w:val="000000"/>
                <w:sz w:val="22"/>
                <w:szCs w:val="22"/>
                <w:u w:val="none"/>
              </w:rPr>
            </w:pPr>
          </w:p>
        </w:tc>
        <w:tc>
          <w:tcPr>
            <w:tcW w:w="384"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满意度指标</w:t>
            </w:r>
          </w:p>
        </w:tc>
        <w:tc>
          <w:tcPr>
            <w:tcW w:w="51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服务对象满意度指标</w:t>
            </w:r>
          </w:p>
        </w:tc>
        <w:tc>
          <w:tcPr>
            <w:tcW w:w="8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被补贴对象满意度</w:t>
            </w:r>
          </w:p>
        </w:tc>
        <w:tc>
          <w:tcPr>
            <w:tcW w:w="882" w:type="pc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95%</w:t>
            </w:r>
          </w:p>
        </w:tc>
        <w:tc>
          <w:tcPr>
            <w:tcW w:w="702"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95%</w:t>
            </w:r>
          </w:p>
        </w:tc>
        <w:tc>
          <w:tcPr>
            <w:tcW w:w="1256" w:type="pct"/>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2" w:hRule="atLeast"/>
        </w:trPr>
        <w:tc>
          <w:tcPr>
            <w:tcW w:w="5000" w:type="pct"/>
            <w:gridSpan w:val="10"/>
            <w:tcBorders>
              <w:top w:val="nil"/>
              <w:left w:val="nil"/>
              <w:bottom w:val="nil"/>
              <w:right w:val="nil"/>
            </w:tcBorders>
            <w:shd w:val="clear"/>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bdr w:val="none" w:color="auto" w:sz="0" w:space="0"/>
                <w:lang w:val="en-US" w:eastAsia="zh-CN" w:bidi="ar"/>
              </w:rPr>
              <w:t>备注：1.预算执行情况口径：预算数为调整后项目预算总额（包括上年结余结转），执行数为项目实际完成支出。</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2.定性指标分档原则：分为达成预期指标、部分达成预期指标并具有一定效果、未达成预期指标且效果较差三档。选择部分达成或未达成的，必须说明原因和改进措施。</w:t>
            </w:r>
            <w:r>
              <w:rPr>
                <w:rFonts w:hint="eastAsia" w:ascii="仿宋" w:hAnsi="仿宋" w:eastAsia="仿宋" w:cs="仿宋"/>
                <w:i w:val="0"/>
                <w:iCs w:val="0"/>
                <w:color w:val="000000"/>
                <w:kern w:val="0"/>
                <w:sz w:val="22"/>
                <w:szCs w:val="22"/>
                <w:u w:val="none"/>
                <w:bdr w:val="none" w:color="auto" w:sz="0" w:space="0"/>
                <w:lang w:val="en-US" w:eastAsia="zh-CN" w:bidi="ar"/>
              </w:rPr>
              <w:br w:type="textWrapping"/>
            </w:r>
            <w:r>
              <w:rPr>
                <w:rFonts w:hint="eastAsia" w:ascii="仿宋" w:hAnsi="仿宋" w:eastAsia="仿宋" w:cs="仿宋"/>
                <w:i w:val="0"/>
                <w:iCs w:val="0"/>
                <w:color w:val="000000"/>
                <w:kern w:val="0"/>
                <w:sz w:val="22"/>
                <w:szCs w:val="22"/>
                <w:u w:val="none"/>
                <w:bdr w:val="none" w:color="auto" w:sz="0" w:space="0"/>
                <w:lang w:val="en-US" w:eastAsia="zh-CN" w:bidi="ar"/>
              </w:rPr>
              <w:t>3.基于经济性和必要性等因素考虑，满意度指标难以统计的，在自评时可不作为必评指标。</w:t>
            </w:r>
          </w:p>
        </w:tc>
      </w:tr>
    </w:tbl>
    <w:p>
      <w:pPr>
        <w:keepNext w:val="0"/>
        <w:keepLines w:val="0"/>
        <w:pageBreakBefore w:val="0"/>
        <w:widowControl w:val="0"/>
        <w:kinsoku/>
        <w:wordWrap/>
        <w:overflowPunct/>
        <w:topLinePunct w:val="0"/>
        <w:autoSpaceDE/>
        <w:autoSpaceDN/>
        <w:bidi w:val="0"/>
        <w:adjustRightInd/>
        <w:snapToGrid/>
        <w:textAlignment w:val="auto"/>
        <w:rPr>
          <w:rFonts w:hint="eastAsia" w:ascii="仿宋" w:hAnsi="仿宋" w:eastAsia="仿宋" w:cs="仿宋"/>
          <w:sz w:val="24"/>
          <w:szCs w:val="24"/>
          <w:lang w:val="en-US" w:eastAsia="zh-CN"/>
        </w:rPr>
      </w:pPr>
      <w:bookmarkStart w:id="29" w:name="_GoBack"/>
      <w:bookmarkEnd w:id="29"/>
    </w:p>
    <w:p>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仿宋" w:hAnsi="仿宋" w:eastAsia="仿宋" w:cs="仿宋"/>
          <w:sz w:val="32"/>
          <w:szCs w:val="32"/>
          <w:lang w:val="en-US" w:eastAsia="zh-CN"/>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061192"/>
    <w:multiLevelType w:val="singleLevel"/>
    <w:tmpl w:val="18061192"/>
    <w:lvl w:ilvl="0" w:tentative="0">
      <w:start w:val="1"/>
      <w:numFmt w:val="chineseCounting"/>
      <w:suff w:val="nothing"/>
      <w:lvlText w:val="（%1）"/>
      <w:lvlJc w:val="left"/>
      <w:rPr>
        <w:rFonts w:hint="eastAsia"/>
      </w:rPr>
    </w:lvl>
  </w:abstractNum>
  <w:abstractNum w:abstractNumId="1">
    <w:nsid w:val="77BFE4E9"/>
    <w:multiLevelType w:val="singleLevel"/>
    <w:tmpl w:val="77BFE4E9"/>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3MDlhZTExNTVkMGZiMmQ2OWMzYTZjM2IzMzI2M2QifQ=="/>
  </w:docVars>
  <w:rsids>
    <w:rsidRoot w:val="00000000"/>
    <w:rsid w:val="00DB20F7"/>
    <w:rsid w:val="01D12314"/>
    <w:rsid w:val="02C848FD"/>
    <w:rsid w:val="02FB021D"/>
    <w:rsid w:val="04C946C0"/>
    <w:rsid w:val="058B39C0"/>
    <w:rsid w:val="05F640F9"/>
    <w:rsid w:val="070D0B30"/>
    <w:rsid w:val="07E04497"/>
    <w:rsid w:val="09680BF5"/>
    <w:rsid w:val="0B071D3B"/>
    <w:rsid w:val="0C534BD4"/>
    <w:rsid w:val="0C655404"/>
    <w:rsid w:val="0D3A1F53"/>
    <w:rsid w:val="0E681446"/>
    <w:rsid w:val="0F41684C"/>
    <w:rsid w:val="0FFD0285"/>
    <w:rsid w:val="110023AD"/>
    <w:rsid w:val="119B45DC"/>
    <w:rsid w:val="11C97EA9"/>
    <w:rsid w:val="141C6AA3"/>
    <w:rsid w:val="146C5694"/>
    <w:rsid w:val="148C19C8"/>
    <w:rsid w:val="14C8078D"/>
    <w:rsid w:val="15121A08"/>
    <w:rsid w:val="16F874F3"/>
    <w:rsid w:val="18BB318B"/>
    <w:rsid w:val="1A2C356C"/>
    <w:rsid w:val="1CA218C3"/>
    <w:rsid w:val="1CE96785"/>
    <w:rsid w:val="1F1D51D6"/>
    <w:rsid w:val="1FBD682C"/>
    <w:rsid w:val="20503FE2"/>
    <w:rsid w:val="222B739A"/>
    <w:rsid w:val="22386CFF"/>
    <w:rsid w:val="22AB12BB"/>
    <w:rsid w:val="23F36750"/>
    <w:rsid w:val="2560558E"/>
    <w:rsid w:val="265F25D3"/>
    <w:rsid w:val="281C4C87"/>
    <w:rsid w:val="288C2760"/>
    <w:rsid w:val="28B45DEB"/>
    <w:rsid w:val="294C6E3F"/>
    <w:rsid w:val="2A43616A"/>
    <w:rsid w:val="2D40315E"/>
    <w:rsid w:val="2D636E4D"/>
    <w:rsid w:val="2DEE4968"/>
    <w:rsid w:val="2FAD736C"/>
    <w:rsid w:val="2FB725D1"/>
    <w:rsid w:val="30120F5C"/>
    <w:rsid w:val="31D11625"/>
    <w:rsid w:val="31E85878"/>
    <w:rsid w:val="3219405C"/>
    <w:rsid w:val="324C7EAF"/>
    <w:rsid w:val="33953AD8"/>
    <w:rsid w:val="33FB393B"/>
    <w:rsid w:val="351516AA"/>
    <w:rsid w:val="368340BC"/>
    <w:rsid w:val="370A4414"/>
    <w:rsid w:val="38691B7D"/>
    <w:rsid w:val="3AFC4BC0"/>
    <w:rsid w:val="3E234B49"/>
    <w:rsid w:val="3F2C6E75"/>
    <w:rsid w:val="3FCC0881"/>
    <w:rsid w:val="3FD35411"/>
    <w:rsid w:val="3FE37A8D"/>
    <w:rsid w:val="412C5A7C"/>
    <w:rsid w:val="41913B31"/>
    <w:rsid w:val="42C81E5B"/>
    <w:rsid w:val="42D65788"/>
    <w:rsid w:val="444F5357"/>
    <w:rsid w:val="459040FF"/>
    <w:rsid w:val="477041E8"/>
    <w:rsid w:val="477137B3"/>
    <w:rsid w:val="48BB5339"/>
    <w:rsid w:val="4A1470AD"/>
    <w:rsid w:val="4A6242BC"/>
    <w:rsid w:val="4B775167"/>
    <w:rsid w:val="4BC602FA"/>
    <w:rsid w:val="4C8B65CE"/>
    <w:rsid w:val="4CA02D6C"/>
    <w:rsid w:val="4CB61310"/>
    <w:rsid w:val="4CC21042"/>
    <w:rsid w:val="4D296A95"/>
    <w:rsid w:val="4D622825"/>
    <w:rsid w:val="4DAE5A6A"/>
    <w:rsid w:val="4F813D71"/>
    <w:rsid w:val="500F00E3"/>
    <w:rsid w:val="5105691F"/>
    <w:rsid w:val="51594625"/>
    <w:rsid w:val="52E42E4C"/>
    <w:rsid w:val="55982E86"/>
    <w:rsid w:val="576B32B2"/>
    <w:rsid w:val="57DA1F20"/>
    <w:rsid w:val="58003366"/>
    <w:rsid w:val="58F43202"/>
    <w:rsid w:val="59F76F17"/>
    <w:rsid w:val="5AE451B8"/>
    <w:rsid w:val="5C740135"/>
    <w:rsid w:val="5C9B489C"/>
    <w:rsid w:val="5DD60DF1"/>
    <w:rsid w:val="5E2E047A"/>
    <w:rsid w:val="5E9A3A3E"/>
    <w:rsid w:val="5F1D4FFB"/>
    <w:rsid w:val="5FCC092D"/>
    <w:rsid w:val="606F2E37"/>
    <w:rsid w:val="614E0C9F"/>
    <w:rsid w:val="61994EFA"/>
    <w:rsid w:val="6388676C"/>
    <w:rsid w:val="64C51278"/>
    <w:rsid w:val="65A771A3"/>
    <w:rsid w:val="6622352C"/>
    <w:rsid w:val="67FB2B15"/>
    <w:rsid w:val="68666B58"/>
    <w:rsid w:val="687C07E7"/>
    <w:rsid w:val="68BC1DAF"/>
    <w:rsid w:val="694C2E11"/>
    <w:rsid w:val="6A1A3E14"/>
    <w:rsid w:val="6B0B56DA"/>
    <w:rsid w:val="6DE90B5F"/>
    <w:rsid w:val="70A24B63"/>
    <w:rsid w:val="718A4220"/>
    <w:rsid w:val="71B73ED1"/>
    <w:rsid w:val="720E0702"/>
    <w:rsid w:val="722F7ECD"/>
    <w:rsid w:val="72323CC5"/>
    <w:rsid w:val="72730565"/>
    <w:rsid w:val="737316EB"/>
    <w:rsid w:val="74341F76"/>
    <w:rsid w:val="75B726B5"/>
    <w:rsid w:val="76994E49"/>
    <w:rsid w:val="771245DB"/>
    <w:rsid w:val="78DD42A4"/>
    <w:rsid w:val="7A602ED9"/>
    <w:rsid w:val="7B8A14E5"/>
    <w:rsid w:val="7BB83C85"/>
    <w:rsid w:val="7CE000AD"/>
    <w:rsid w:val="7EEB3EC6"/>
    <w:rsid w:val="7F5454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paragraph" w:styleId="2">
    <w:name w:val="heading 1"/>
    <w:basedOn w:val="1"/>
    <w:next w:val="1"/>
    <w:autoRedefine/>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link w:val="15"/>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5"/>
    <w:basedOn w:val="1"/>
    <w:next w:val="1"/>
    <w:autoRedefine/>
    <w:qFormat/>
    <w:uiPriority w:val="0"/>
    <w:pPr>
      <w:keepNext/>
      <w:outlineLvl w:val="4"/>
    </w:pPr>
    <w:rPr>
      <w:rFonts w:ascii="宋体" w:hAnsi="宋体" w:cs="宋体"/>
      <w:b/>
      <w:bCs/>
      <w:sz w:val="24"/>
    </w:rPr>
  </w:style>
  <w:style w:type="character" w:default="1" w:styleId="13">
    <w:name w:val="Default Paragraph Font"/>
    <w:autoRedefine/>
    <w:semiHidden/>
    <w:qFormat/>
    <w:uiPriority w:val="0"/>
  </w:style>
  <w:style w:type="table" w:default="1" w:styleId="11">
    <w:name w:val="Normal Table"/>
    <w:autoRedefine/>
    <w:semiHidden/>
    <w:qFormat/>
    <w:uiPriority w:val="0"/>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6">
    <w:name w:val="toc 3"/>
    <w:basedOn w:val="1"/>
    <w:next w:val="1"/>
    <w:autoRedefine/>
    <w:qFormat/>
    <w:uiPriority w:val="0"/>
    <w:pPr>
      <w:ind w:left="840" w:leftChars="400"/>
    </w:pPr>
  </w:style>
  <w:style w:type="paragraph" w:styleId="7">
    <w:name w:val="footer"/>
    <w:basedOn w:val="1"/>
    <w:autoRedefine/>
    <w:qFormat/>
    <w:uiPriority w:val="0"/>
    <w:pPr>
      <w:tabs>
        <w:tab w:val="center" w:pos="4153"/>
        <w:tab w:val="right" w:pos="8306"/>
      </w:tabs>
      <w:snapToGrid w:val="0"/>
      <w:jc w:val="left"/>
    </w:pPr>
    <w:rPr>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autoRedefine/>
    <w:qFormat/>
    <w:uiPriority w:val="0"/>
  </w:style>
  <w:style w:type="paragraph" w:styleId="10">
    <w:name w:val="toc 2"/>
    <w:basedOn w:val="1"/>
    <w:next w:val="1"/>
    <w:autoRedefine/>
    <w:qFormat/>
    <w:uiPriority w:val="0"/>
    <w:pPr>
      <w:ind w:left="420" w:leftChars="200"/>
    </w:pPr>
  </w:style>
  <w:style w:type="table" w:styleId="12">
    <w:name w:val="Table Grid"/>
    <w:basedOn w:val="11"/>
    <w:autoRedefine/>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4">
    <w:name w:val="Strong"/>
    <w:basedOn w:val="13"/>
    <w:autoRedefine/>
    <w:qFormat/>
    <w:uiPriority w:val="0"/>
    <w:rPr>
      <w:b/>
    </w:rPr>
  </w:style>
  <w:style w:type="character" w:customStyle="1" w:styleId="15">
    <w:name w:val="标题 2 Char"/>
    <w:link w:val="3"/>
    <w:autoRedefine/>
    <w:qFormat/>
    <w:uiPriority w:val="0"/>
    <w:rPr>
      <w:rFonts w:ascii="Arial" w:hAnsi="Arial" w:eastAsia="黑体"/>
      <w:b/>
      <w:sz w:val="32"/>
    </w:rPr>
  </w:style>
  <w:style w:type="paragraph" w:customStyle="1" w:styleId="16">
    <w:name w:val="WPSOffice手动目录 1"/>
    <w:autoRedefine/>
    <w:qFormat/>
    <w:uiPriority w:val="0"/>
    <w:pPr>
      <w:ind w:leftChars="0"/>
    </w:pPr>
    <w:rPr>
      <w:rFonts w:ascii="Calibri" w:hAnsi="Calibri" w:eastAsia="宋体" w:cs="Calibri"/>
      <w:sz w:val="20"/>
      <w:szCs w:val="20"/>
    </w:rPr>
  </w:style>
  <w:style w:type="paragraph" w:customStyle="1" w:styleId="17">
    <w:name w:val="WPSOffice手动目录 2"/>
    <w:autoRedefine/>
    <w:qFormat/>
    <w:uiPriority w:val="0"/>
    <w:pPr>
      <w:ind w:leftChars="200"/>
    </w:pPr>
    <w:rPr>
      <w:rFonts w:ascii="Calibri" w:hAnsi="Calibri" w:eastAsia="宋体" w:cs="Calibri"/>
      <w:sz w:val="20"/>
      <w:szCs w:val="20"/>
    </w:rPr>
  </w:style>
  <w:style w:type="paragraph" w:customStyle="1" w:styleId="18">
    <w:name w:val="WPSOffice手动目录 3"/>
    <w:autoRedefine/>
    <w:qFormat/>
    <w:uiPriority w:val="0"/>
    <w:pPr>
      <w:ind w:leftChars="400"/>
    </w:pPr>
    <w:rPr>
      <w:rFonts w:ascii="Calibri" w:hAnsi="Calibri" w:eastAsia="宋体" w:cs="Calibri"/>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2022-03-15T01:08:00Z</dcterms:created>
  <dc:creator>Administrator</dc:creator>
  <cp:lastModifiedBy>admin</cp:lastModifiedBy>
  <dcterms:modified xsi:type="dcterms:W3CDTF">2024-03-26T09:18:23Z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93F0D9EA72BA48F385BEFC08B52CF993</vt:lpwstr>
  </property>
</Properties>
</file>