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7B11B">
      <w:pPr>
        <w:spacing w:line="360" w:lineRule="auto"/>
        <w:ind w:firstLine="880" w:firstLineChars="200"/>
        <w:jc w:val="center"/>
        <w:rPr>
          <w:rFonts w:hint="eastAsia" w:ascii="仿宋" w:hAnsi="仿宋" w:eastAsia="仿宋" w:cs="仿宋"/>
          <w:sz w:val="44"/>
          <w:szCs w:val="44"/>
          <w:highlight w:val="none"/>
        </w:rPr>
      </w:pPr>
    </w:p>
    <w:p w14:paraId="57F984BA">
      <w:pPr>
        <w:spacing w:line="360" w:lineRule="auto"/>
        <w:ind w:firstLine="880" w:firstLineChars="200"/>
        <w:jc w:val="center"/>
        <w:rPr>
          <w:rFonts w:hint="eastAsia" w:ascii="仿宋" w:hAnsi="仿宋" w:eastAsia="仿宋" w:cs="仿宋"/>
          <w:sz w:val="44"/>
          <w:szCs w:val="44"/>
          <w:highlight w:val="none"/>
        </w:rPr>
      </w:pPr>
    </w:p>
    <w:p w14:paraId="12B4A490">
      <w:pPr>
        <w:spacing w:line="360" w:lineRule="auto"/>
        <w:ind w:firstLine="880" w:firstLineChars="200"/>
        <w:jc w:val="center"/>
        <w:rPr>
          <w:rFonts w:hint="eastAsia" w:ascii="仿宋" w:hAnsi="仿宋" w:eastAsia="仿宋" w:cs="仿宋"/>
          <w:sz w:val="44"/>
          <w:szCs w:val="44"/>
          <w:highlight w:val="none"/>
        </w:rPr>
      </w:pPr>
    </w:p>
    <w:p w14:paraId="663F6AF7">
      <w:pPr>
        <w:spacing w:line="360" w:lineRule="auto"/>
        <w:ind w:firstLine="880" w:firstLineChars="200"/>
        <w:jc w:val="center"/>
        <w:rPr>
          <w:rFonts w:hint="eastAsia" w:ascii="仿宋" w:hAnsi="仿宋" w:eastAsia="仿宋" w:cs="仿宋"/>
          <w:sz w:val="44"/>
          <w:szCs w:val="44"/>
          <w:highlight w:val="none"/>
        </w:rPr>
      </w:pPr>
    </w:p>
    <w:p w14:paraId="35D9ADD2">
      <w:pPr>
        <w:spacing w:line="600" w:lineRule="auto"/>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武汉市蔡甸区残疾人联合会</w:t>
      </w:r>
      <w:r>
        <w:rPr>
          <w:rFonts w:hint="eastAsia" w:ascii="仿宋" w:hAnsi="仿宋" w:eastAsia="仿宋" w:cs="仿宋"/>
          <w:sz w:val="44"/>
          <w:szCs w:val="44"/>
          <w:highlight w:val="none"/>
          <w:lang w:val="en-US" w:eastAsia="zh-CN"/>
        </w:rPr>
        <w:t>2022</w:t>
      </w:r>
      <w:r>
        <w:rPr>
          <w:rFonts w:hint="eastAsia" w:ascii="仿宋" w:hAnsi="仿宋" w:eastAsia="仿宋" w:cs="仿宋"/>
          <w:sz w:val="44"/>
          <w:szCs w:val="44"/>
          <w:highlight w:val="none"/>
        </w:rPr>
        <w:t>年度</w:t>
      </w:r>
    </w:p>
    <w:p w14:paraId="6843164C">
      <w:pPr>
        <w:spacing w:line="600" w:lineRule="auto"/>
        <w:jc w:val="center"/>
        <w:rPr>
          <w:rFonts w:hint="eastAsia" w:ascii="仿宋" w:hAnsi="仿宋" w:eastAsia="仿宋" w:cs="仿宋"/>
          <w:sz w:val="44"/>
          <w:szCs w:val="44"/>
          <w:highlight w:val="none"/>
        </w:rPr>
      </w:pPr>
      <w:r>
        <w:rPr>
          <w:rFonts w:hint="eastAsia" w:ascii="仿宋" w:hAnsi="仿宋" w:eastAsia="仿宋" w:cs="仿宋"/>
          <w:sz w:val="44"/>
          <w:szCs w:val="44"/>
          <w:highlight w:val="none"/>
          <w:lang w:eastAsia="zh-CN"/>
        </w:rPr>
        <w:t>康复经费项目</w:t>
      </w:r>
      <w:r>
        <w:rPr>
          <w:rFonts w:hint="eastAsia" w:ascii="仿宋" w:hAnsi="仿宋" w:eastAsia="仿宋" w:cs="仿宋"/>
          <w:sz w:val="44"/>
          <w:szCs w:val="44"/>
          <w:highlight w:val="none"/>
        </w:rPr>
        <w:t>自评结果</w:t>
      </w:r>
    </w:p>
    <w:p w14:paraId="2146021E">
      <w:pPr>
        <w:rPr>
          <w:rFonts w:hint="eastAsia" w:ascii="仿宋" w:hAnsi="仿宋" w:eastAsia="仿宋" w:cs="仿宋"/>
          <w:sz w:val="44"/>
          <w:szCs w:val="44"/>
          <w:highlight w:val="none"/>
        </w:rPr>
      </w:pPr>
    </w:p>
    <w:p w14:paraId="40CCAF89">
      <w:pPr>
        <w:rPr>
          <w:rFonts w:hint="eastAsia" w:ascii="仿宋" w:hAnsi="仿宋" w:eastAsia="仿宋" w:cs="仿宋"/>
          <w:sz w:val="44"/>
          <w:szCs w:val="44"/>
          <w:highlight w:val="none"/>
        </w:rPr>
      </w:pPr>
    </w:p>
    <w:p w14:paraId="1462B7A8">
      <w:pPr>
        <w:widowControl/>
        <w:ind w:right="-168" w:rightChars="-80" w:firstLine="790" w:firstLineChars="246"/>
        <w:jc w:val="left"/>
        <w:rPr>
          <w:rFonts w:hint="eastAsia" w:ascii="仿宋" w:hAnsi="仿宋" w:eastAsia="仿宋" w:cs="仿宋"/>
          <w:b/>
          <w:bCs/>
          <w:kern w:val="32"/>
          <w:sz w:val="32"/>
          <w:highlight w:val="none"/>
          <w:lang w:bidi="he-IL"/>
        </w:rPr>
      </w:pPr>
    </w:p>
    <w:p w14:paraId="5FC4714A">
      <w:pPr>
        <w:widowControl/>
        <w:ind w:right="-168" w:rightChars="-80"/>
        <w:jc w:val="left"/>
        <w:rPr>
          <w:rFonts w:hint="eastAsia" w:ascii="仿宋" w:hAnsi="仿宋" w:eastAsia="仿宋" w:cs="仿宋"/>
          <w:b/>
          <w:bCs/>
          <w:kern w:val="32"/>
          <w:sz w:val="32"/>
          <w:highlight w:val="none"/>
          <w:lang w:bidi="he-IL"/>
        </w:rPr>
      </w:pPr>
    </w:p>
    <w:p w14:paraId="364882AB">
      <w:pPr>
        <w:widowControl/>
        <w:ind w:right="-168" w:rightChars="-80"/>
        <w:jc w:val="left"/>
        <w:rPr>
          <w:rFonts w:hint="eastAsia" w:ascii="仿宋" w:hAnsi="仿宋" w:eastAsia="仿宋" w:cs="仿宋"/>
          <w:b/>
          <w:bCs/>
          <w:kern w:val="32"/>
          <w:sz w:val="32"/>
          <w:highlight w:val="none"/>
          <w:lang w:bidi="he-IL"/>
        </w:rPr>
      </w:pPr>
    </w:p>
    <w:p w14:paraId="1E86318F">
      <w:pPr>
        <w:widowControl/>
        <w:ind w:right="-168" w:rightChars="-80"/>
        <w:jc w:val="left"/>
        <w:rPr>
          <w:rFonts w:hint="eastAsia" w:ascii="仿宋" w:hAnsi="仿宋" w:eastAsia="仿宋" w:cs="仿宋"/>
          <w:b/>
          <w:bCs/>
          <w:kern w:val="32"/>
          <w:sz w:val="32"/>
          <w:highlight w:val="none"/>
          <w:lang w:bidi="he-IL"/>
        </w:rPr>
      </w:pPr>
    </w:p>
    <w:p w14:paraId="4495D0D2">
      <w:pPr>
        <w:widowControl/>
        <w:ind w:right="-168" w:rightChars="-80" w:firstLine="787" w:firstLineChars="246"/>
        <w:jc w:val="left"/>
        <w:rPr>
          <w:rFonts w:hint="eastAsia" w:ascii="仿宋" w:hAnsi="仿宋" w:eastAsia="仿宋" w:cs="仿宋"/>
          <w:b w:val="0"/>
          <w:bCs w:val="0"/>
          <w:kern w:val="32"/>
          <w:sz w:val="32"/>
          <w:highlight w:val="none"/>
          <w:lang w:bidi="he-IL"/>
        </w:rPr>
      </w:pPr>
    </w:p>
    <w:p w14:paraId="7A2A6873">
      <w:pPr>
        <w:widowControl/>
        <w:spacing w:line="480" w:lineRule="auto"/>
        <w:ind w:right="-168" w:rightChars="-80"/>
        <w:jc w:val="both"/>
        <w:rPr>
          <w:rFonts w:hint="eastAsia" w:ascii="仿宋" w:hAnsi="仿宋" w:eastAsia="仿宋" w:cs="仿宋"/>
          <w:b w:val="0"/>
          <w:bCs w:val="0"/>
          <w:kern w:val="32"/>
          <w:sz w:val="44"/>
          <w:szCs w:val="28"/>
          <w:highlight w:val="none"/>
          <w:lang w:eastAsia="zh-CN" w:bidi="he-IL"/>
        </w:rPr>
      </w:pPr>
      <w:r>
        <w:rPr>
          <w:rFonts w:hint="eastAsia" w:ascii="仿宋" w:hAnsi="仿宋" w:eastAsia="仿宋" w:cs="仿宋"/>
          <w:b w:val="0"/>
          <w:bCs w:val="0"/>
          <w:kern w:val="32"/>
          <w:sz w:val="44"/>
          <w:szCs w:val="28"/>
          <w:highlight w:val="none"/>
          <w:lang w:bidi="he-IL"/>
        </w:rPr>
        <w:t>项目名称</w:t>
      </w:r>
      <w:r>
        <w:rPr>
          <w:rFonts w:hint="eastAsia" w:ascii="仿宋" w:hAnsi="仿宋" w:eastAsia="仿宋" w:cs="仿宋"/>
          <w:b w:val="0"/>
          <w:bCs w:val="0"/>
          <w:kern w:val="32"/>
          <w:sz w:val="44"/>
          <w:szCs w:val="28"/>
          <w:highlight w:val="none"/>
          <w:lang w:eastAsia="zh-CN" w:bidi="he-IL"/>
        </w:rPr>
        <w:t>：康复经费项目</w:t>
      </w:r>
    </w:p>
    <w:p w14:paraId="039C6A2A">
      <w:pPr>
        <w:widowControl/>
        <w:spacing w:line="480" w:lineRule="auto"/>
        <w:ind w:right="-168" w:rightChars="-80"/>
        <w:jc w:val="both"/>
        <w:rPr>
          <w:rFonts w:hint="eastAsia" w:ascii="仿宋" w:hAnsi="仿宋" w:eastAsia="仿宋" w:cs="仿宋"/>
          <w:b w:val="0"/>
          <w:bCs w:val="0"/>
          <w:sz w:val="44"/>
          <w:szCs w:val="44"/>
          <w:highlight w:val="none"/>
        </w:rPr>
      </w:pPr>
      <w:r>
        <w:rPr>
          <w:rFonts w:hint="eastAsia" w:ascii="仿宋" w:hAnsi="仿宋" w:eastAsia="仿宋" w:cs="仿宋"/>
          <w:b w:val="0"/>
          <w:bCs w:val="0"/>
          <w:kern w:val="32"/>
          <w:sz w:val="44"/>
          <w:szCs w:val="28"/>
          <w:highlight w:val="none"/>
          <w:lang w:bidi="he-IL"/>
        </w:rPr>
        <w:t>项目单位：武汉市蔡甸区残疾人联合会</w:t>
      </w:r>
    </w:p>
    <w:p w14:paraId="4CC187DB">
      <w:pPr>
        <w:widowControl/>
        <w:spacing w:line="480" w:lineRule="auto"/>
        <w:jc w:val="both"/>
        <w:rPr>
          <w:rFonts w:hint="eastAsia" w:ascii="仿宋" w:hAnsi="仿宋" w:eastAsia="仿宋" w:cs="仿宋"/>
          <w:b w:val="0"/>
          <w:bCs w:val="0"/>
          <w:kern w:val="32"/>
          <w:sz w:val="44"/>
          <w:szCs w:val="28"/>
          <w:highlight w:val="none"/>
          <w:lang w:bidi="he-IL"/>
        </w:rPr>
      </w:pPr>
      <w:r>
        <w:rPr>
          <w:rFonts w:hint="eastAsia" w:ascii="仿宋" w:hAnsi="仿宋" w:eastAsia="仿宋" w:cs="仿宋"/>
          <w:b w:val="0"/>
          <w:bCs w:val="0"/>
          <w:kern w:val="32"/>
          <w:sz w:val="44"/>
          <w:szCs w:val="28"/>
          <w:highlight w:val="none"/>
          <w:lang w:bidi="he-IL"/>
        </w:rPr>
        <w:t>主管部门：武汉市蔡甸区残疾人联合会</w:t>
      </w:r>
    </w:p>
    <w:p w14:paraId="467304E9">
      <w:pPr>
        <w:widowControl/>
        <w:spacing w:line="480" w:lineRule="auto"/>
        <w:jc w:val="both"/>
        <w:rPr>
          <w:rFonts w:hint="eastAsia" w:ascii="仿宋" w:hAnsi="仿宋" w:eastAsia="仿宋" w:cs="仿宋"/>
          <w:b w:val="0"/>
          <w:bCs w:val="0"/>
          <w:kern w:val="32"/>
          <w:sz w:val="44"/>
          <w:szCs w:val="28"/>
          <w:highlight w:val="none"/>
          <w:lang w:bidi="he-IL"/>
        </w:rPr>
      </w:pPr>
      <w:r>
        <w:rPr>
          <w:rFonts w:hint="eastAsia" w:ascii="仿宋" w:hAnsi="仿宋" w:eastAsia="仿宋" w:cs="仿宋"/>
          <w:b w:val="0"/>
          <w:bCs w:val="0"/>
          <w:kern w:val="32"/>
          <w:sz w:val="44"/>
          <w:szCs w:val="28"/>
          <w:highlight w:val="none"/>
          <w:lang w:bidi="he-IL"/>
        </w:rPr>
        <w:t>评价单位：武汉市蔡甸区残疾人联合会</w:t>
      </w:r>
    </w:p>
    <w:p w14:paraId="119C2C7D">
      <w:pPr>
        <w:widowControl/>
        <w:jc w:val="both"/>
        <w:rPr>
          <w:rFonts w:hint="eastAsia" w:ascii="仿宋" w:hAnsi="仿宋" w:eastAsia="仿宋" w:cs="仿宋"/>
          <w:b/>
          <w:bCs/>
          <w:kern w:val="32"/>
          <w:sz w:val="44"/>
          <w:szCs w:val="28"/>
          <w:highlight w:val="none"/>
          <w:lang w:bidi="he-IL"/>
        </w:rPr>
      </w:pPr>
    </w:p>
    <w:p w14:paraId="4CA8CFE9">
      <w:pPr>
        <w:widowControl/>
        <w:jc w:val="center"/>
        <w:rPr>
          <w:rFonts w:hint="eastAsia" w:ascii="仿宋" w:hAnsi="仿宋" w:eastAsia="仿宋" w:cs="仿宋"/>
          <w:b w:val="0"/>
          <w:bCs w:val="0"/>
          <w:kern w:val="32"/>
          <w:sz w:val="44"/>
          <w:szCs w:val="28"/>
          <w:highlight w:val="none"/>
          <w:lang w:val="en-US" w:eastAsia="zh-CN" w:bidi="he-IL"/>
        </w:rPr>
      </w:pPr>
      <w:r>
        <w:rPr>
          <w:rFonts w:hint="eastAsia" w:ascii="仿宋" w:hAnsi="仿宋" w:eastAsia="仿宋" w:cs="仿宋"/>
          <w:b w:val="0"/>
          <w:bCs w:val="0"/>
          <w:kern w:val="32"/>
          <w:sz w:val="44"/>
          <w:szCs w:val="28"/>
          <w:highlight w:val="none"/>
          <w:lang w:val="en-US" w:eastAsia="zh-CN" w:bidi="he-IL"/>
        </w:rPr>
        <w:t>2023年3月</w:t>
      </w:r>
    </w:p>
    <w:p w14:paraId="2519926C">
      <w:pPr>
        <w:rPr>
          <w:rFonts w:hint="eastAsia" w:ascii="仿宋" w:hAnsi="仿宋" w:eastAsia="仿宋" w:cs="仿宋"/>
          <w:sz w:val="44"/>
          <w:szCs w:val="44"/>
          <w:highlight w:val="none"/>
        </w:rPr>
      </w:pPr>
    </w:p>
    <w:p w14:paraId="1CE00862">
      <w:pPr>
        <w:rPr>
          <w:rFonts w:hint="eastAsia" w:ascii="仿宋" w:hAnsi="仿宋" w:eastAsia="仿宋" w:cs="仿宋"/>
          <w:sz w:val="44"/>
          <w:szCs w:val="44"/>
          <w:highlight w:val="none"/>
        </w:rPr>
      </w:pPr>
    </w:p>
    <w:p w14:paraId="257EE160">
      <w:pPr>
        <w:rPr>
          <w:rFonts w:hint="eastAsia" w:ascii="仿宋" w:hAnsi="仿宋" w:eastAsia="仿宋" w:cs="仿宋"/>
          <w:sz w:val="44"/>
          <w:szCs w:val="44"/>
          <w:highlight w:val="none"/>
        </w:rPr>
      </w:pPr>
    </w:p>
    <w:sdt>
      <w:sdtPr>
        <w:rPr>
          <w:rFonts w:hint="eastAsia" w:ascii="仿宋" w:hAnsi="仿宋" w:eastAsia="仿宋" w:cs="仿宋"/>
          <w:kern w:val="2"/>
          <w:sz w:val="28"/>
          <w:szCs w:val="28"/>
          <w:highlight w:val="none"/>
          <w:lang w:val="en-US" w:eastAsia="zh-CN" w:bidi="ar-SA"/>
        </w:rPr>
        <w:id w:val="147480206"/>
        <w15:color w:val="DBDBDB"/>
        <w:docPartObj>
          <w:docPartGallery w:val="Table of Contents"/>
          <w:docPartUnique/>
        </w:docPartObj>
      </w:sdtPr>
      <w:sdtEndPr>
        <w:rPr>
          <w:rFonts w:hint="eastAsia" w:ascii="仿宋" w:hAnsi="仿宋" w:eastAsia="仿宋" w:cs="仿宋"/>
          <w:kern w:val="2"/>
          <w:sz w:val="24"/>
          <w:szCs w:val="24"/>
          <w:highlight w:val="none"/>
          <w:lang w:val="en-US" w:eastAsia="zh-CN" w:bidi="ar-SA"/>
        </w:rPr>
      </w:sdtEndPr>
      <w:sdtContent>
        <w:p w14:paraId="50FEFF5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录</w:t>
          </w:r>
        </w:p>
        <w:p w14:paraId="3A4471B7">
          <w:pPr>
            <w:pStyle w:val="8"/>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HYPERLINK \l _Toc27767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、绩效目标完成情况</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_Toc27767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1</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fldChar w:fldCharType="end"/>
          </w:r>
        </w:p>
        <w:p w14:paraId="4EDEF751">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_Toc7730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1.执行率情况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_Toc7730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80517AB">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_Toc2268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完成的绩效目标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2297832B">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_Toc14010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未完成的绩效目标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_Toc14010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EB353B7">
          <w:pPr>
            <w:pStyle w:val="8"/>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_Toc23362 </w:instrText>
          </w:r>
          <w:r>
            <w:rPr>
              <w:rFonts w:hint="eastAsia" w:ascii="仿宋" w:hAnsi="仿宋" w:eastAsia="仿宋" w:cs="仿宋"/>
              <w:sz w:val="24"/>
              <w:szCs w:val="24"/>
              <w:highlight w:val="none"/>
            </w:rPr>
            <w:fldChar w:fldCharType="separate"/>
          </w:r>
          <w:r>
            <w:rPr>
              <w:rFonts w:hint="eastAsia" w:ascii="仿宋" w:hAnsi="仿宋" w:eastAsia="仿宋" w:cs="仿宋"/>
              <w:b/>
              <w:bCs/>
              <w:sz w:val="24"/>
              <w:szCs w:val="24"/>
              <w:highlight w:val="none"/>
              <w:lang w:val="en-US" w:eastAsia="zh-CN"/>
            </w:rPr>
            <w:t>二、绩效目标完成情况分析</w:t>
          </w:r>
          <w:r>
            <w:rPr>
              <w:rFonts w:hint="eastAsia" w:ascii="仿宋" w:hAnsi="仿宋" w:eastAsia="仿宋" w:cs="仿宋"/>
              <w:b/>
              <w:bCs/>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_Toc23362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2915F93">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_Toc15413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1.预算执行情况分析（包括完成情况和偏离原因等）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_Toc15413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7910904">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_Toc25321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2.绩效目标完成情况分析（包括完成情况和偏离原因等）</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_Toc25321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E3A897F">
          <w:pPr>
            <w:pStyle w:val="5"/>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_Toc12948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（1）产出指标完成情况分析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_Toc12948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40D5219">
          <w:pPr>
            <w:pStyle w:val="5"/>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_Toc22253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w:t>
          </w:r>
          <w:r>
            <w:rPr>
              <w:rFonts w:hint="eastAsia" w:ascii="仿宋" w:hAnsi="仿宋" w:eastAsia="仿宋" w:cs="仿宋"/>
              <w:bCs w:val="0"/>
              <w:sz w:val="24"/>
              <w:szCs w:val="24"/>
              <w:highlight w:val="none"/>
            </w:rPr>
            <w:t>效益指标完成情况分析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_Toc22253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F85BFBD">
          <w:pPr>
            <w:pStyle w:val="5"/>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_Toc21447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）满意度指标完成情况分析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_Toc21447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E809F1E">
          <w:pPr>
            <w:pStyle w:val="8"/>
            <w:tabs>
              <w:tab w:val="right" w:leader="dot" w:pos="8306"/>
            </w:tabs>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HYPERLINK \l _Toc29620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三、存在的问题和原因</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_Toc29620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fldChar w:fldCharType="end"/>
          </w:r>
        </w:p>
        <w:p w14:paraId="13D466C0">
          <w:pPr>
            <w:pStyle w:val="8"/>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HYPERLINK \l _Toc5103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lang w:val="en-US" w:eastAsia="zh-CN"/>
            </w:rPr>
            <w:t>四、下一步拟改进措施</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fldChar w:fldCharType="begin"/>
          </w:r>
          <w:r>
            <w:rPr>
              <w:rFonts w:hint="eastAsia" w:ascii="仿宋" w:hAnsi="仿宋" w:eastAsia="仿宋" w:cs="仿宋"/>
              <w:b/>
              <w:bCs/>
              <w:sz w:val="24"/>
              <w:szCs w:val="24"/>
              <w:highlight w:val="none"/>
            </w:rPr>
            <w:instrText xml:space="preserve"> PAGEREF _Toc5103 \h </w:instrText>
          </w:r>
          <w:r>
            <w:rPr>
              <w:rFonts w:hint="eastAsia" w:ascii="仿宋" w:hAnsi="仿宋" w:eastAsia="仿宋" w:cs="仿宋"/>
              <w:b/>
              <w:bCs/>
              <w:sz w:val="24"/>
              <w:szCs w:val="24"/>
              <w:highlight w:val="none"/>
            </w:rPr>
            <w:fldChar w:fldCharType="separate"/>
          </w:r>
          <w:r>
            <w:rPr>
              <w:rFonts w:hint="eastAsia" w:ascii="仿宋" w:hAnsi="仿宋" w:eastAsia="仿宋" w:cs="仿宋"/>
              <w:b/>
              <w:bCs/>
              <w:sz w:val="24"/>
              <w:szCs w:val="24"/>
              <w:highlight w:val="none"/>
            </w:rPr>
            <w:t>5</w:t>
          </w:r>
          <w:r>
            <w:rPr>
              <w:rFonts w:hint="eastAsia" w:ascii="仿宋" w:hAnsi="仿宋" w:eastAsia="仿宋" w:cs="仿宋"/>
              <w:b/>
              <w:bCs/>
              <w:sz w:val="24"/>
              <w:szCs w:val="24"/>
              <w:highlight w:val="none"/>
            </w:rPr>
            <w:fldChar w:fldCharType="end"/>
          </w:r>
          <w:r>
            <w:rPr>
              <w:rFonts w:hint="eastAsia" w:ascii="仿宋" w:hAnsi="仿宋" w:eastAsia="仿宋" w:cs="仿宋"/>
              <w:b/>
              <w:bCs/>
              <w:sz w:val="24"/>
              <w:szCs w:val="24"/>
              <w:highlight w:val="none"/>
            </w:rPr>
            <w:fldChar w:fldCharType="end"/>
          </w:r>
        </w:p>
        <w:p w14:paraId="4CE718FC">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_Toc10473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1.下一步拟改进措施，包括项目整改和绩效目标调整完善等相关内容</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_Toc10473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F9B90E2">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_Toc26603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 xml:space="preserve">2. </w:t>
          </w:r>
          <w:r>
            <w:rPr>
              <w:rFonts w:hint="eastAsia" w:ascii="仿宋" w:hAnsi="仿宋" w:eastAsia="仿宋" w:cs="仿宋"/>
              <w:bCs/>
              <w:sz w:val="24"/>
              <w:szCs w:val="24"/>
              <w:highlight w:val="none"/>
            </w:rPr>
            <w:t>与预算安排相结合情况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_Toc26603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6FC3D81">
          <w:pPr>
            <w:pStyle w:val="8"/>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_Toc21576 </w:instrText>
          </w:r>
          <w:r>
            <w:rPr>
              <w:rFonts w:hint="eastAsia" w:ascii="仿宋" w:hAnsi="仿宋" w:eastAsia="仿宋" w:cs="仿宋"/>
              <w:sz w:val="24"/>
              <w:szCs w:val="24"/>
              <w:highlight w:val="none"/>
            </w:rPr>
            <w:fldChar w:fldCharType="separate"/>
          </w:r>
          <w:r>
            <w:rPr>
              <w:rFonts w:hint="eastAsia" w:ascii="仿宋" w:hAnsi="仿宋" w:eastAsia="仿宋" w:cs="仿宋"/>
              <w:b/>
              <w:bCs/>
              <w:sz w:val="24"/>
              <w:szCs w:val="24"/>
              <w:highlight w:val="none"/>
              <w:lang w:val="en-US" w:eastAsia="zh-CN"/>
            </w:rPr>
            <w:t>五、评价结果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_Toc21576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F3E4D75">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_Toc27000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_Toc27000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8F14BF4">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_Toc22466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项目立项背景和依据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_Toc22466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48A79014">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_Toc3398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lang w:eastAsia="zh-CN"/>
            </w:rPr>
            <w:t>）项目绩效目标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_Toc3398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01129F26">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_Toc3522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lang w:eastAsia="zh-CN"/>
            </w:rPr>
            <w:t>）项目经费来源和使用情况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_Toc3522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3457FFB">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_Toc680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eastAsia="zh-CN"/>
            </w:rPr>
            <w:t>）项目实施情况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_Toc680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470AC72">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_Toc29849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（二）部门自</w:t>
          </w:r>
          <w:r>
            <w:rPr>
              <w:rFonts w:hint="eastAsia" w:ascii="仿宋" w:hAnsi="仿宋" w:eastAsia="仿宋" w:cs="仿宋"/>
              <w:bCs/>
              <w:sz w:val="24"/>
              <w:szCs w:val="24"/>
              <w:highlight w:val="yellow"/>
              <w:lang w:val="en-US" w:eastAsia="zh-CN"/>
            </w:rPr>
            <w:t>评估工作</w:t>
          </w:r>
          <w:r>
            <w:rPr>
              <w:rFonts w:hint="eastAsia" w:ascii="仿宋" w:hAnsi="仿宋" w:eastAsia="仿宋" w:cs="仿宋"/>
              <w:bCs/>
              <w:sz w:val="24"/>
              <w:szCs w:val="24"/>
              <w:highlight w:val="none"/>
              <w:lang w:val="en-US" w:eastAsia="zh-CN"/>
            </w:rPr>
            <w:t>开展情况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_Toc29849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680EDC7">
          <w:pPr>
            <w:pStyle w:val="9"/>
            <w:tabs>
              <w:tab w:val="right" w:leader="dot" w:pos="8306"/>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_Toc20937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（三）绩效评价结果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_Toc20937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4862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highlight w:val="none"/>
            </w:rPr>
            <w:fldChar w:fldCharType="end"/>
          </w:r>
        </w:p>
      </w:sdtContent>
    </w:sdt>
    <w:p w14:paraId="385833C5">
      <w:pPr>
        <w:rPr>
          <w:rFonts w:hint="eastAsia" w:ascii="仿宋" w:hAnsi="仿宋" w:eastAsia="仿宋" w:cs="仿宋"/>
          <w:sz w:val="24"/>
          <w:szCs w:val="24"/>
          <w:highlight w:val="none"/>
          <w:lang w:val="en-US" w:eastAsia="zh-CN"/>
        </w:rPr>
      </w:pPr>
    </w:p>
    <w:p w14:paraId="504F6438">
      <w:pPr>
        <w:pStyle w:val="2"/>
        <w:bidi w:val="0"/>
        <w:rPr>
          <w:rFonts w:hint="eastAsia" w:ascii="仿宋" w:hAnsi="仿宋" w:eastAsia="仿宋" w:cs="仿宋"/>
          <w:highlight w:val="none"/>
        </w:rPr>
      </w:pPr>
      <w:bookmarkStart w:id="0" w:name="_Toc27767"/>
      <w:r>
        <w:rPr>
          <w:rFonts w:hint="eastAsia" w:ascii="仿宋" w:hAnsi="仿宋" w:eastAsia="仿宋" w:cs="仿宋"/>
          <w:highlight w:val="none"/>
          <w:lang w:val="en-US" w:eastAsia="zh-CN"/>
        </w:rPr>
        <w:t>一</w:t>
      </w:r>
      <w:r>
        <w:rPr>
          <w:rFonts w:hint="eastAsia" w:ascii="仿宋" w:hAnsi="仿宋" w:eastAsia="仿宋" w:cs="仿宋"/>
          <w:highlight w:val="none"/>
        </w:rPr>
        <w:t>、绩效目标完成情况</w:t>
      </w:r>
      <w:bookmarkEnd w:id="0"/>
    </w:p>
    <w:p w14:paraId="423D26E5">
      <w:pPr>
        <w:pStyle w:val="3"/>
        <w:bidi w:val="0"/>
        <w:jc w:val="left"/>
        <w:rPr>
          <w:rFonts w:hint="eastAsia" w:ascii="仿宋" w:hAnsi="仿宋" w:eastAsia="仿宋" w:cs="仿宋"/>
          <w:b/>
          <w:bCs w:val="0"/>
          <w:highlight w:val="none"/>
        </w:rPr>
      </w:pPr>
      <w:bookmarkStart w:id="1" w:name="_Toc7730"/>
      <w:r>
        <w:rPr>
          <w:rFonts w:hint="eastAsia" w:ascii="仿宋" w:hAnsi="仿宋" w:eastAsia="仿宋" w:cs="仿宋"/>
          <w:b/>
          <w:bCs w:val="0"/>
          <w:highlight w:val="none"/>
        </w:rPr>
        <w:t>1.执行率情况</w:t>
      </w:r>
      <w:bookmarkEnd w:id="1"/>
    </w:p>
    <w:p w14:paraId="4DAB4C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康复经费</w:t>
      </w:r>
      <w:r>
        <w:rPr>
          <w:rFonts w:hint="eastAsia" w:ascii="仿宋" w:hAnsi="仿宋" w:eastAsia="仿宋" w:cs="仿宋"/>
          <w:sz w:val="32"/>
          <w:szCs w:val="32"/>
          <w:highlight w:val="none"/>
        </w:rPr>
        <w:t>”项目为持续性、</w:t>
      </w:r>
      <w:r>
        <w:rPr>
          <w:rFonts w:hint="eastAsia" w:ascii="仿宋" w:hAnsi="仿宋" w:eastAsia="仿宋" w:cs="仿宋"/>
          <w:sz w:val="32"/>
          <w:szCs w:val="32"/>
          <w:highlight w:val="none"/>
          <w:lang w:val="en-US" w:eastAsia="zh-CN"/>
        </w:rPr>
        <w:t>常年性</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年初预算资金480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预算调整后450.68万元，</w:t>
      </w:r>
      <w:r>
        <w:rPr>
          <w:rFonts w:hint="eastAsia" w:ascii="仿宋" w:hAnsi="仿宋" w:eastAsia="仿宋" w:cs="仿宋"/>
          <w:sz w:val="32"/>
          <w:szCs w:val="32"/>
          <w:highlight w:val="none"/>
        </w:rPr>
        <w:t>资金全部到位。“</w:t>
      </w:r>
      <w:r>
        <w:rPr>
          <w:rFonts w:hint="eastAsia" w:ascii="仿宋" w:hAnsi="仿宋" w:eastAsia="仿宋" w:cs="仿宋"/>
          <w:sz w:val="32"/>
          <w:szCs w:val="32"/>
          <w:highlight w:val="none"/>
          <w:lang w:eastAsia="zh-CN"/>
        </w:rPr>
        <w:t>康复经费</w:t>
      </w:r>
      <w:r>
        <w:rPr>
          <w:rFonts w:hint="eastAsia" w:ascii="仿宋" w:hAnsi="仿宋" w:eastAsia="仿宋" w:cs="仿宋"/>
          <w:sz w:val="32"/>
          <w:szCs w:val="32"/>
          <w:highlight w:val="none"/>
        </w:rPr>
        <w:t>”实际支出</w:t>
      </w:r>
      <w:r>
        <w:rPr>
          <w:rFonts w:hint="eastAsia" w:ascii="仿宋" w:hAnsi="仿宋" w:eastAsia="仿宋" w:cs="仿宋"/>
          <w:sz w:val="32"/>
          <w:szCs w:val="32"/>
          <w:highlight w:val="none"/>
          <w:lang w:eastAsia="zh-CN"/>
        </w:rPr>
        <w:t>419.23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其中一般预算资金支出419.23万元，预算执行率93.02%。</w:t>
      </w:r>
    </w:p>
    <w:tbl>
      <w:tblPr>
        <w:tblStyle w:val="10"/>
        <w:tblW w:w="825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9"/>
        <w:gridCol w:w="1790"/>
        <w:gridCol w:w="1606"/>
        <w:gridCol w:w="1606"/>
        <w:gridCol w:w="1606"/>
      </w:tblGrid>
      <w:tr w14:paraId="0997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62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预算项目</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4B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年初预算数</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B41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预算调整数</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71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执行数</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CB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执行率</w:t>
            </w:r>
          </w:p>
        </w:tc>
      </w:tr>
      <w:tr w14:paraId="22A6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21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康复经费</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641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480.00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A4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450.68 </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C1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419.23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4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93.02%</w:t>
            </w:r>
          </w:p>
        </w:tc>
      </w:tr>
      <w:tr w14:paraId="62C5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1649"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8D68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 计</w:t>
            </w:r>
          </w:p>
        </w:tc>
        <w:tc>
          <w:tcPr>
            <w:tcW w:w="179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0C6161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480.00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F5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450.68  </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B4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419.23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9B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93.02%</w:t>
            </w:r>
          </w:p>
        </w:tc>
      </w:tr>
    </w:tbl>
    <w:p w14:paraId="3EFBF585">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highlight w:val="none"/>
          <w:lang w:val="en-US" w:eastAsia="zh-CN"/>
        </w:rPr>
      </w:pPr>
    </w:p>
    <w:p w14:paraId="1C7E44B2">
      <w:pPr>
        <w:pStyle w:val="3"/>
        <w:numPr>
          <w:ilvl w:val="0"/>
          <w:numId w:val="0"/>
        </w:numPr>
        <w:bidi w:val="0"/>
        <w:jc w:val="left"/>
        <w:rPr>
          <w:rFonts w:hint="eastAsia" w:ascii="仿宋" w:hAnsi="仿宋" w:eastAsia="仿宋" w:cs="仿宋"/>
          <w:b/>
          <w:bCs w:val="0"/>
          <w:highlight w:val="none"/>
        </w:rPr>
      </w:pPr>
      <w:bookmarkStart w:id="2" w:name="_Toc2268"/>
      <w:r>
        <w:rPr>
          <w:rFonts w:hint="eastAsia" w:ascii="仿宋" w:hAnsi="仿宋" w:eastAsia="仿宋" w:cs="仿宋"/>
          <w:b/>
          <w:bCs w:val="0"/>
          <w:highlight w:val="none"/>
          <w:lang w:val="en-US" w:eastAsia="zh-CN"/>
        </w:rPr>
        <w:t>2.</w:t>
      </w:r>
      <w:r>
        <w:rPr>
          <w:rFonts w:hint="eastAsia" w:ascii="仿宋" w:hAnsi="仿宋" w:eastAsia="仿宋" w:cs="仿宋"/>
          <w:b/>
          <w:bCs w:val="0"/>
          <w:highlight w:val="none"/>
        </w:rPr>
        <w:t>完成的绩效目标</w:t>
      </w:r>
      <w:bookmarkEnd w:id="2"/>
    </w:p>
    <w:p w14:paraId="59D33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highlight w:val="none"/>
        </w:rPr>
      </w:pPr>
      <w:r>
        <w:rPr>
          <w:rFonts w:hint="eastAsia" w:ascii="仿宋" w:hAnsi="仿宋" w:eastAsia="仿宋" w:cs="仿宋"/>
          <w:b w:val="0"/>
          <w:bCs/>
          <w:sz w:val="32"/>
          <w:szCs w:val="32"/>
          <w:highlight w:val="none"/>
          <w:lang w:val="en-US" w:eastAsia="zh-CN"/>
        </w:rPr>
        <w:t>2022年“康复经费项目”共设置9个绩效目标，完成9个。完成绩效目标分别是：残疾人精神服药补贴1.73万人次；0-14岁儿童康复训练162人；0-6岁残疾儿童康复救助家庭生活补助129人；补贴对象合规率100%；残疾人精准康复服务率达97.24%；</w:t>
      </w:r>
      <w:r>
        <w:rPr>
          <w:rFonts w:hint="eastAsia" w:ascii="仿宋" w:hAnsi="仿宋" w:eastAsia="仿宋" w:cs="仿宋"/>
          <w:b w:val="0"/>
          <w:bCs/>
          <w:sz w:val="32"/>
          <w:szCs w:val="32"/>
          <w:highlight w:val="yellow"/>
          <w:lang w:val="en-US" w:eastAsia="zh-CN"/>
        </w:rPr>
        <w:t>及</w:t>
      </w:r>
      <w:r>
        <w:rPr>
          <w:rFonts w:hint="eastAsia" w:ascii="仿宋" w:hAnsi="仿宋" w:eastAsia="仿宋" w:cs="仿宋"/>
          <w:b w:val="0"/>
          <w:bCs/>
          <w:sz w:val="32"/>
          <w:szCs w:val="32"/>
          <w:highlight w:val="none"/>
          <w:lang w:val="en-US" w:eastAsia="zh-CN"/>
        </w:rPr>
        <w:t>时完成补贴下发任务在12月前完成；营造良好的助残帮残社会氛围；提高残疾人生活水平。康复补贴对象满意度达90%。</w:t>
      </w:r>
      <w:r>
        <w:rPr>
          <w:rFonts w:hint="eastAsia" w:ascii="仿宋" w:hAnsi="仿宋" w:eastAsia="仿宋" w:cs="仿宋"/>
          <w:b w:val="0"/>
          <w:bCs/>
          <w:sz w:val="32"/>
          <w:szCs w:val="32"/>
          <w:highlight w:val="none"/>
          <w:lang w:val="en-US" w:eastAsia="zh-CN"/>
        </w:rPr>
        <w:tab/>
      </w:r>
    </w:p>
    <w:p w14:paraId="36CFB19D">
      <w:pPr>
        <w:pStyle w:val="3"/>
        <w:numPr>
          <w:ilvl w:val="0"/>
          <w:numId w:val="0"/>
        </w:numPr>
        <w:bidi w:val="0"/>
        <w:rPr>
          <w:rFonts w:hint="eastAsia" w:ascii="仿宋" w:hAnsi="仿宋" w:eastAsia="仿宋" w:cs="仿宋"/>
          <w:highlight w:val="none"/>
        </w:rPr>
      </w:pPr>
      <w:bookmarkStart w:id="3" w:name="_Toc14010"/>
      <w:r>
        <w:rPr>
          <w:rFonts w:hint="eastAsia" w:ascii="仿宋" w:hAnsi="仿宋" w:eastAsia="仿宋" w:cs="仿宋"/>
          <w:highlight w:val="none"/>
          <w:lang w:val="en-US" w:eastAsia="zh-CN"/>
        </w:rPr>
        <w:t>3.</w:t>
      </w:r>
      <w:r>
        <w:rPr>
          <w:rFonts w:hint="eastAsia" w:ascii="仿宋" w:hAnsi="仿宋" w:eastAsia="仿宋" w:cs="仿宋"/>
          <w:highlight w:val="none"/>
        </w:rPr>
        <w:t>未完成的绩效目标</w:t>
      </w:r>
      <w:bookmarkEnd w:id="3"/>
    </w:p>
    <w:p w14:paraId="491B37A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未完成绩效目标：无</w:t>
      </w:r>
    </w:p>
    <w:p w14:paraId="26C88A5D">
      <w:pPr>
        <w:pStyle w:val="2"/>
        <w:bidi w:val="0"/>
        <w:rPr>
          <w:rFonts w:hint="eastAsia" w:ascii="仿宋" w:hAnsi="仿宋" w:eastAsia="仿宋" w:cs="仿宋"/>
          <w:highlight w:val="none"/>
          <w:lang w:val="en-US" w:eastAsia="zh-CN"/>
        </w:rPr>
      </w:pPr>
      <w:bookmarkStart w:id="4" w:name="_Toc23362"/>
      <w:r>
        <w:rPr>
          <w:rFonts w:hint="eastAsia" w:ascii="仿宋" w:hAnsi="仿宋" w:eastAsia="仿宋" w:cs="仿宋"/>
          <w:highlight w:val="none"/>
          <w:lang w:val="en-US" w:eastAsia="zh-CN"/>
        </w:rPr>
        <w:t>二、绩效目标完成情况分析</w:t>
      </w:r>
      <w:bookmarkEnd w:id="4"/>
    </w:p>
    <w:p w14:paraId="786BEEC8">
      <w:pPr>
        <w:pStyle w:val="3"/>
        <w:bidi w:val="0"/>
        <w:jc w:val="left"/>
        <w:rPr>
          <w:rFonts w:hint="eastAsia" w:ascii="仿宋" w:hAnsi="仿宋" w:eastAsia="仿宋" w:cs="仿宋"/>
          <w:b/>
          <w:bCs w:val="0"/>
          <w:highlight w:val="none"/>
        </w:rPr>
      </w:pPr>
      <w:bookmarkStart w:id="5" w:name="_Toc15413"/>
      <w:r>
        <w:rPr>
          <w:rFonts w:hint="eastAsia" w:ascii="仿宋" w:hAnsi="仿宋" w:eastAsia="仿宋" w:cs="仿宋"/>
          <w:b/>
          <w:bCs w:val="0"/>
          <w:highlight w:val="none"/>
        </w:rPr>
        <w:t>1.预算执行情况分析（包括完成情况和偏离原因等）</w:t>
      </w:r>
      <w:bookmarkEnd w:id="5"/>
    </w:p>
    <w:p w14:paraId="66162B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b w:val="0"/>
          <w:bCs/>
          <w:sz w:val="32"/>
          <w:szCs w:val="32"/>
          <w:highlight w:val="none"/>
          <w:lang w:val="en-US" w:eastAsia="zh-CN"/>
        </w:rPr>
        <w:t>康复经费项目</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年年初预算</w:t>
      </w:r>
      <w:r>
        <w:rPr>
          <w:rFonts w:hint="eastAsia" w:ascii="仿宋" w:hAnsi="仿宋" w:eastAsia="仿宋" w:cs="仿宋"/>
          <w:sz w:val="32"/>
          <w:szCs w:val="32"/>
          <w:highlight w:val="none"/>
          <w:lang w:val="en-US" w:eastAsia="zh-CN"/>
        </w:rPr>
        <w:t>480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预算调整后450.68万元。2022年支出金额419.23万元，预算执行率93.02%</w:t>
      </w:r>
      <w:r>
        <w:rPr>
          <w:rFonts w:hint="eastAsia" w:ascii="仿宋" w:hAnsi="仿宋" w:eastAsia="仿宋" w:cs="仿宋"/>
          <w:sz w:val="32"/>
          <w:szCs w:val="32"/>
          <w:highlight w:val="none"/>
        </w:rPr>
        <w:t>。</w:t>
      </w:r>
    </w:p>
    <w:tbl>
      <w:tblPr>
        <w:tblStyle w:val="10"/>
        <w:tblW w:w="85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5"/>
        <w:gridCol w:w="1233"/>
        <w:gridCol w:w="1311"/>
        <w:gridCol w:w="2900"/>
        <w:gridCol w:w="1549"/>
      </w:tblGrid>
      <w:tr w14:paraId="2F2E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25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预算项目</w:t>
            </w:r>
          </w:p>
        </w:tc>
        <w:tc>
          <w:tcPr>
            <w:tcW w:w="123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35A4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年初</w:t>
            </w:r>
          </w:p>
          <w:p w14:paraId="326C36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预算数</w:t>
            </w:r>
          </w:p>
        </w:tc>
        <w:tc>
          <w:tcPr>
            <w:tcW w:w="131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1A2E5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预算</w:t>
            </w:r>
          </w:p>
          <w:p w14:paraId="7C6BE6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调整数</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6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经济科目</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20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执行数</w:t>
            </w:r>
          </w:p>
        </w:tc>
      </w:tr>
      <w:tr w14:paraId="745E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525" w:type="dxa"/>
            <w:vMerge w:val="restart"/>
            <w:tcBorders>
              <w:top w:val="single" w:color="000000" w:sz="4" w:space="0"/>
              <w:left w:val="single" w:color="000000" w:sz="4" w:space="0"/>
              <w:bottom w:val="nil"/>
              <w:right w:val="single" w:color="000000" w:sz="4" w:space="0"/>
            </w:tcBorders>
            <w:shd w:val="clear" w:color="auto" w:fill="auto"/>
            <w:noWrap/>
            <w:vAlign w:val="center"/>
          </w:tcPr>
          <w:p w14:paraId="5351C6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康复经费</w:t>
            </w:r>
          </w:p>
        </w:tc>
        <w:tc>
          <w:tcPr>
            <w:tcW w:w="1233" w:type="dxa"/>
            <w:vMerge w:val="restart"/>
            <w:tcBorders>
              <w:top w:val="single" w:color="000000" w:sz="4" w:space="0"/>
              <w:left w:val="single" w:color="000000" w:sz="4" w:space="0"/>
              <w:bottom w:val="nil"/>
              <w:right w:val="single" w:color="auto" w:sz="4" w:space="0"/>
            </w:tcBorders>
            <w:shd w:val="clear" w:color="auto" w:fill="auto"/>
            <w:noWrap/>
            <w:vAlign w:val="center"/>
          </w:tcPr>
          <w:p w14:paraId="31191DB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480.00</w:t>
            </w:r>
          </w:p>
        </w:tc>
        <w:tc>
          <w:tcPr>
            <w:tcW w:w="1311" w:type="dxa"/>
            <w:vMerge w:val="restart"/>
            <w:tcBorders>
              <w:top w:val="single" w:color="000000" w:sz="4" w:space="0"/>
              <w:left w:val="single" w:color="auto" w:sz="4" w:space="0"/>
              <w:bottom w:val="nil"/>
              <w:right w:val="single" w:color="000000" w:sz="4" w:space="0"/>
            </w:tcBorders>
            <w:shd w:val="clear" w:color="auto" w:fill="auto"/>
            <w:noWrap/>
            <w:vAlign w:val="center"/>
          </w:tcPr>
          <w:p w14:paraId="5DBE86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450.68</w:t>
            </w: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0FA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其他对个人和家庭的补助</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B2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333.23</w:t>
            </w:r>
          </w:p>
        </w:tc>
      </w:tr>
      <w:tr w14:paraId="29B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525"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5AD6FF">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4"/>
                <w:szCs w:val="24"/>
                <w:highlight w:val="none"/>
                <w:u w:val="none"/>
              </w:rPr>
            </w:pPr>
          </w:p>
        </w:tc>
        <w:tc>
          <w:tcPr>
            <w:tcW w:w="1233" w:type="dxa"/>
            <w:vMerge w:val="continue"/>
            <w:tcBorders>
              <w:top w:val="single" w:color="000000" w:sz="4" w:space="0"/>
              <w:left w:val="single" w:color="000000" w:sz="4" w:space="0"/>
              <w:bottom w:val="nil"/>
              <w:right w:val="single" w:color="auto" w:sz="4" w:space="0"/>
            </w:tcBorders>
            <w:shd w:val="clear" w:color="auto" w:fill="auto"/>
            <w:noWrap/>
            <w:vAlign w:val="center"/>
          </w:tcPr>
          <w:p w14:paraId="7D275EA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1311" w:type="dxa"/>
            <w:vMerge w:val="continue"/>
            <w:tcBorders>
              <w:top w:val="single" w:color="000000" w:sz="4" w:space="0"/>
              <w:left w:val="single" w:color="auto" w:sz="4" w:space="0"/>
              <w:bottom w:val="nil"/>
              <w:right w:val="single" w:color="000000" w:sz="4" w:space="0"/>
            </w:tcBorders>
            <w:shd w:val="clear" w:color="auto" w:fill="auto"/>
            <w:noWrap/>
            <w:vAlign w:val="center"/>
          </w:tcPr>
          <w:p w14:paraId="0965588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21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其他商品和服务支出</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0C0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86.00</w:t>
            </w:r>
          </w:p>
        </w:tc>
      </w:tr>
      <w:tr w14:paraId="7E1E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9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36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合  计</w:t>
            </w:r>
          </w:p>
        </w:tc>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6A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419.23</w:t>
            </w:r>
          </w:p>
        </w:tc>
      </w:tr>
    </w:tbl>
    <w:p w14:paraId="2ED47F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偏差原因：主要是康复经费支出，优先使用省市资金进行支付，导致预算执行率不高。</w:t>
      </w:r>
    </w:p>
    <w:p w14:paraId="3A16AD9C">
      <w:pPr>
        <w:pStyle w:val="3"/>
        <w:bidi w:val="0"/>
        <w:jc w:val="left"/>
        <w:rPr>
          <w:rFonts w:hint="eastAsia" w:ascii="仿宋" w:hAnsi="仿宋" w:eastAsia="仿宋" w:cs="仿宋"/>
          <w:b/>
          <w:bCs w:val="0"/>
          <w:highlight w:val="none"/>
        </w:rPr>
      </w:pPr>
      <w:bookmarkStart w:id="6" w:name="_Toc25321"/>
      <w:r>
        <w:rPr>
          <w:rFonts w:hint="eastAsia" w:ascii="仿宋" w:hAnsi="仿宋" w:eastAsia="仿宋" w:cs="仿宋"/>
          <w:b/>
          <w:bCs w:val="0"/>
          <w:highlight w:val="none"/>
        </w:rPr>
        <w:t>2.绩效目标完成情况分析（包括完成情况和偏离原因等）</w:t>
      </w:r>
      <w:bookmarkEnd w:id="6"/>
    </w:p>
    <w:p w14:paraId="5B45291B">
      <w:pPr>
        <w:pStyle w:val="4"/>
        <w:bidi w:val="0"/>
        <w:jc w:val="left"/>
        <w:rPr>
          <w:rFonts w:hint="eastAsia" w:ascii="仿宋" w:hAnsi="仿宋" w:eastAsia="仿宋" w:cs="仿宋"/>
          <w:b w:val="0"/>
          <w:bCs/>
          <w:sz w:val="32"/>
          <w:szCs w:val="32"/>
          <w:highlight w:val="none"/>
          <w:lang w:val="en-US" w:eastAsia="zh-CN"/>
        </w:rPr>
      </w:pPr>
      <w:bookmarkStart w:id="7" w:name="_Toc12948"/>
      <w:r>
        <w:rPr>
          <w:rFonts w:hint="eastAsia" w:ascii="仿宋" w:hAnsi="仿宋" w:eastAsia="仿宋" w:cs="仿宋"/>
          <w:b w:val="0"/>
          <w:bCs/>
          <w:highlight w:val="none"/>
        </w:rPr>
        <w:t>（1）产出指标完成情况分析</w:t>
      </w:r>
      <w:bookmarkEnd w:id="7"/>
    </w:p>
    <w:p w14:paraId="1E3F1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产出指标主要从残疾人精神服药补贴人次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0-14岁儿童康复训练人数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0-6岁残疾儿童康复救助家庭生活补助</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补贴对象合规率</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残疾人精准康复服务</w:t>
      </w:r>
      <w:r>
        <w:rPr>
          <w:rFonts w:hint="eastAsia" w:ascii="仿宋" w:hAnsi="仿宋" w:eastAsia="仿宋" w:cs="仿宋"/>
          <w:sz w:val="32"/>
          <w:szCs w:val="32"/>
          <w:highlight w:val="yellow"/>
        </w:rPr>
        <w:t>率</w:t>
      </w:r>
      <w:r>
        <w:rPr>
          <w:rFonts w:hint="eastAsia" w:ascii="仿宋" w:hAnsi="仿宋" w:eastAsia="仿宋" w:cs="仿宋"/>
          <w:sz w:val="32"/>
          <w:szCs w:val="32"/>
          <w:highlight w:val="yellow"/>
        </w:rPr>
        <w:tab/>
      </w:r>
      <w:r>
        <w:rPr>
          <w:rFonts w:hint="eastAsia" w:ascii="仿宋" w:hAnsi="仿宋" w:eastAsia="仿宋" w:cs="仿宋"/>
          <w:sz w:val="32"/>
          <w:szCs w:val="32"/>
          <w:highlight w:val="yellow"/>
        </w:rPr>
        <w:t>及</w:t>
      </w:r>
      <w:r>
        <w:rPr>
          <w:rFonts w:hint="eastAsia" w:ascii="仿宋" w:hAnsi="仿宋" w:eastAsia="仿宋" w:cs="仿宋"/>
          <w:sz w:val="32"/>
          <w:szCs w:val="32"/>
          <w:highlight w:val="none"/>
        </w:rPr>
        <w:t>时完成补贴下发任务</w:t>
      </w:r>
      <w:r>
        <w:rPr>
          <w:rFonts w:hint="eastAsia" w:ascii="仿宋" w:hAnsi="仿宋" w:eastAsia="仿宋" w:cs="仿宋"/>
          <w:b w:val="0"/>
          <w:bCs/>
          <w:sz w:val="32"/>
          <w:szCs w:val="32"/>
          <w:highlight w:val="none"/>
          <w:lang w:val="en-US" w:eastAsia="zh-CN"/>
        </w:rPr>
        <w:t>等</w:t>
      </w:r>
      <w:r>
        <w:rPr>
          <w:rFonts w:hint="eastAsia" w:ascii="仿宋" w:hAnsi="仿宋" w:eastAsia="仿宋" w:cs="仿宋"/>
          <w:sz w:val="32"/>
          <w:szCs w:val="32"/>
          <w:highlight w:val="none"/>
        </w:rPr>
        <w:t>这</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个方面来进行评价。</w:t>
      </w:r>
    </w:p>
    <w:p w14:paraId="6B96BF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①数量指标</w:t>
      </w:r>
    </w:p>
    <w:p w14:paraId="4EC3D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残疾人精神服药补贴人次，指项目实施</w:t>
      </w:r>
      <w:r>
        <w:rPr>
          <w:rFonts w:hint="eastAsia" w:ascii="仿宋" w:hAnsi="仿宋" w:eastAsia="仿宋" w:cs="仿宋"/>
          <w:sz w:val="32"/>
          <w:szCs w:val="32"/>
          <w:highlight w:val="none"/>
          <w:lang w:val="en-US" w:eastAsia="zh-CN"/>
        </w:rPr>
        <w:t>单位发放康复救助补贴人数，</w:t>
      </w:r>
      <w:r>
        <w:rPr>
          <w:rFonts w:hint="eastAsia" w:ascii="仿宋" w:hAnsi="仿宋" w:eastAsia="仿宋" w:cs="仿宋"/>
          <w:sz w:val="32"/>
          <w:szCs w:val="32"/>
          <w:highlight w:val="none"/>
        </w:rPr>
        <w:t>用以反映和考核项目产出数量目标的实现程度。年初</w:t>
      </w:r>
      <w:r>
        <w:rPr>
          <w:rFonts w:hint="eastAsia" w:ascii="仿宋" w:hAnsi="仿宋" w:eastAsia="仿宋" w:cs="仿宋"/>
          <w:sz w:val="32"/>
          <w:szCs w:val="32"/>
          <w:highlight w:val="none"/>
          <w:lang w:val="en-US" w:eastAsia="zh-CN"/>
        </w:rPr>
        <w:t>目标值1.7万</w:t>
      </w:r>
      <w:r>
        <w:rPr>
          <w:rFonts w:hint="eastAsia" w:ascii="仿宋" w:hAnsi="仿宋" w:eastAsia="仿宋" w:cs="仿宋"/>
          <w:sz w:val="32"/>
          <w:szCs w:val="32"/>
          <w:highlight w:val="none"/>
        </w:rPr>
        <w:t>人次，实际</w:t>
      </w:r>
      <w:r>
        <w:rPr>
          <w:rFonts w:hint="eastAsia" w:ascii="仿宋" w:hAnsi="仿宋" w:eastAsia="仿宋" w:cs="仿宋"/>
          <w:sz w:val="32"/>
          <w:szCs w:val="32"/>
          <w:highlight w:val="none"/>
          <w:lang w:val="en-US" w:eastAsia="zh-CN"/>
        </w:rPr>
        <w:t>完成1.72万人次</w:t>
      </w:r>
      <w:r>
        <w:rPr>
          <w:rFonts w:hint="eastAsia" w:ascii="仿宋" w:hAnsi="仿宋" w:eastAsia="仿宋" w:cs="仿宋"/>
          <w:sz w:val="32"/>
          <w:szCs w:val="32"/>
          <w:highlight w:val="none"/>
        </w:rPr>
        <w:t>，完成全年目标。</w:t>
      </w:r>
    </w:p>
    <w:p w14:paraId="2A91AE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0-14岁儿童康复训练人数</w:t>
      </w:r>
      <w:r>
        <w:rPr>
          <w:rFonts w:hint="eastAsia" w:ascii="仿宋" w:hAnsi="仿宋" w:eastAsia="仿宋" w:cs="仿宋"/>
          <w:sz w:val="32"/>
          <w:szCs w:val="32"/>
          <w:highlight w:val="none"/>
          <w:lang w:val="en-US" w:eastAsia="zh-CN"/>
        </w:rPr>
        <w:t>，指的项目实施后儿童康复训练补贴人数。年初目标值160人，实际完成162人。</w:t>
      </w:r>
    </w:p>
    <w:p w14:paraId="02E186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0-6岁残疾儿童康复救助家庭生活补助</w:t>
      </w:r>
      <w:r>
        <w:rPr>
          <w:rFonts w:hint="eastAsia" w:ascii="仿宋" w:hAnsi="仿宋" w:eastAsia="仿宋" w:cs="仿宋"/>
          <w:sz w:val="32"/>
          <w:szCs w:val="32"/>
          <w:highlight w:val="none"/>
          <w:lang w:val="en-US" w:eastAsia="zh-CN"/>
        </w:rPr>
        <w:t>，指的项目实施救助残疾儿童家庭人数。年初目标值100人，实际完成129人。</w:t>
      </w:r>
    </w:p>
    <w:p w14:paraId="4454E4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②质量指标</w:t>
      </w:r>
    </w:p>
    <w:p w14:paraId="62D932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补贴对象合规率，</w:t>
      </w:r>
      <w:r>
        <w:rPr>
          <w:rFonts w:hint="eastAsia" w:ascii="仿宋" w:hAnsi="仿宋" w:eastAsia="仿宋" w:cs="仿宋"/>
          <w:sz w:val="32"/>
          <w:szCs w:val="32"/>
          <w:highlight w:val="none"/>
        </w:rPr>
        <w:t>指</w:t>
      </w:r>
      <w:r>
        <w:rPr>
          <w:rFonts w:hint="eastAsia" w:ascii="仿宋" w:hAnsi="仿宋" w:eastAsia="仿宋" w:cs="仿宋"/>
          <w:sz w:val="32"/>
          <w:szCs w:val="32"/>
          <w:highlight w:val="none"/>
          <w:lang w:val="en-US" w:eastAsia="zh-CN"/>
        </w:rPr>
        <w:t>各项补贴到位后是否按照相关政策进行审核、准确发放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年初目标值100%，各项补贴严格按照文件进行资料审核，确认无误发放补贴。实际完成率100%。</w:t>
      </w:r>
    </w:p>
    <w:p w14:paraId="1484BF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残疾人精准康复服务率，指的是残疾人精准康复服务完成情况。年初目标值90%，实际完成97.24%。</w:t>
      </w:r>
    </w:p>
    <w:p w14:paraId="1704D8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③时效指标</w:t>
      </w:r>
    </w:p>
    <w:p w14:paraId="4D9AE9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完成补贴下发任务，是指各项补贴工作是否</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时完成。用以反映和考核项目资金落实的</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时性程度，年初目标值100%，实际完成100%。</w:t>
      </w:r>
    </w:p>
    <w:p w14:paraId="4594FFD2">
      <w:pPr>
        <w:pStyle w:val="4"/>
        <w:numPr>
          <w:ilvl w:val="0"/>
          <w:numId w:val="0"/>
        </w:numPr>
        <w:bidi w:val="0"/>
        <w:jc w:val="left"/>
        <w:rPr>
          <w:rFonts w:hint="eastAsia" w:ascii="仿宋" w:hAnsi="仿宋" w:eastAsia="仿宋" w:cs="仿宋"/>
          <w:b w:val="0"/>
          <w:bCs/>
          <w:highlight w:val="none"/>
        </w:rPr>
      </w:pPr>
      <w:bookmarkStart w:id="8" w:name="_Toc22253"/>
      <w:r>
        <w:rPr>
          <w:rFonts w:hint="eastAsia" w:ascii="仿宋" w:hAnsi="仿宋" w:eastAsia="仿宋" w:cs="仿宋"/>
          <w:b w:val="0"/>
          <w:bCs/>
          <w:highlight w:val="none"/>
        </w:rPr>
        <w:t>（</w:t>
      </w:r>
      <w:r>
        <w:rPr>
          <w:rFonts w:hint="eastAsia" w:ascii="仿宋" w:hAnsi="仿宋" w:eastAsia="仿宋" w:cs="仿宋"/>
          <w:b w:val="0"/>
          <w:bCs/>
          <w:highlight w:val="none"/>
          <w:lang w:val="en-US" w:eastAsia="zh-CN"/>
        </w:rPr>
        <w:t>2</w:t>
      </w:r>
      <w:r>
        <w:rPr>
          <w:rFonts w:hint="eastAsia" w:ascii="仿宋" w:hAnsi="仿宋" w:eastAsia="仿宋" w:cs="仿宋"/>
          <w:b w:val="0"/>
          <w:bCs/>
          <w:highlight w:val="none"/>
        </w:rPr>
        <w:t>）</w:t>
      </w:r>
      <w:r>
        <w:rPr>
          <w:rFonts w:hint="eastAsia" w:ascii="仿宋" w:hAnsi="仿宋" w:eastAsia="仿宋" w:cs="仿宋"/>
          <w:b/>
          <w:bCs w:val="0"/>
          <w:highlight w:val="none"/>
        </w:rPr>
        <w:t>效益指标完成情况分析</w:t>
      </w:r>
      <w:bookmarkEnd w:id="8"/>
    </w:p>
    <w:p w14:paraId="50DA0CF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①社会效益</w:t>
      </w:r>
    </w:p>
    <w:p w14:paraId="7F48A3BE">
      <w:pPr>
        <w:keepNext w:val="0"/>
        <w:keepLines w:val="0"/>
        <w:widowControl/>
        <w:suppressLineNumbers w:val="0"/>
        <w:spacing w:before="0" w:beforeAutospacing="0" w:after="0" w:afterAutospacing="0" w:line="432" w:lineRule="auto"/>
        <w:ind w:left="0" w:right="0" w:firstLine="755" w:firstLineChars="236"/>
        <w:jc w:val="both"/>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项目实施后，各项政策对于受助残疾人各项功能的改善、提高</w:t>
      </w:r>
      <w:r>
        <w:rPr>
          <w:rFonts w:hint="eastAsia" w:ascii="仿宋" w:hAnsi="仿宋" w:eastAsia="仿宋" w:cs="仿宋"/>
          <w:kern w:val="2"/>
          <w:sz w:val="32"/>
          <w:szCs w:val="32"/>
          <w:highlight w:val="yellow"/>
          <w:lang w:val="en-US" w:eastAsia="zh-CN" w:bidi="ar"/>
        </w:rPr>
        <w:t>及</w:t>
      </w:r>
      <w:r>
        <w:rPr>
          <w:rFonts w:hint="eastAsia" w:ascii="仿宋" w:hAnsi="仿宋" w:eastAsia="仿宋" w:cs="仿宋"/>
          <w:kern w:val="2"/>
          <w:sz w:val="32"/>
          <w:szCs w:val="32"/>
          <w:highlight w:val="none"/>
          <w:lang w:val="en-US" w:eastAsia="zh-CN" w:bidi="ar"/>
        </w:rPr>
        <w:t>融入社会程度。营造良好的助残帮残社会氛围，提高残疾人生活水平。</w:t>
      </w:r>
    </w:p>
    <w:p w14:paraId="4E4A02C9">
      <w:pPr>
        <w:pStyle w:val="4"/>
        <w:numPr>
          <w:ilvl w:val="0"/>
          <w:numId w:val="0"/>
        </w:numPr>
        <w:bidi w:val="0"/>
        <w:ind w:leftChars="0"/>
        <w:jc w:val="left"/>
        <w:rPr>
          <w:rFonts w:hint="eastAsia" w:ascii="仿宋" w:hAnsi="仿宋" w:eastAsia="仿宋" w:cs="仿宋"/>
          <w:b w:val="0"/>
          <w:bCs/>
          <w:highlight w:val="none"/>
        </w:rPr>
      </w:pPr>
      <w:bookmarkStart w:id="9" w:name="_Toc21447"/>
      <w:r>
        <w:rPr>
          <w:rFonts w:hint="eastAsia" w:ascii="仿宋" w:hAnsi="仿宋" w:eastAsia="仿宋" w:cs="仿宋"/>
          <w:b w:val="0"/>
          <w:bCs/>
          <w:highlight w:val="none"/>
        </w:rPr>
        <w:t>（</w:t>
      </w:r>
      <w:r>
        <w:rPr>
          <w:rFonts w:hint="eastAsia" w:ascii="仿宋" w:hAnsi="仿宋" w:eastAsia="仿宋" w:cs="仿宋"/>
          <w:b w:val="0"/>
          <w:bCs/>
          <w:highlight w:val="none"/>
          <w:lang w:val="en-US" w:eastAsia="zh-CN"/>
        </w:rPr>
        <w:t>3</w:t>
      </w:r>
      <w:r>
        <w:rPr>
          <w:rFonts w:hint="eastAsia" w:ascii="仿宋" w:hAnsi="仿宋" w:eastAsia="仿宋" w:cs="仿宋"/>
          <w:b w:val="0"/>
          <w:bCs/>
          <w:highlight w:val="none"/>
        </w:rPr>
        <w:t>）满意度指标完成情况分析</w:t>
      </w:r>
      <w:bookmarkEnd w:id="9"/>
    </w:p>
    <w:p w14:paraId="44D717C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康复补贴对象满意度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指的服务对象对项目实施的满意程度，用以反映和考核项目实施单位的项目实施成果。项目</w:t>
      </w:r>
      <w:r>
        <w:rPr>
          <w:rFonts w:hint="default" w:ascii="仿宋_GB2312" w:hAnsi="仿宋_GB2312" w:eastAsia="仿宋_GB2312" w:cs="仿宋_GB2312"/>
          <w:kern w:val="0"/>
          <w:sz w:val="32"/>
          <w:szCs w:val="32"/>
          <w:lang w:eastAsia="zh-CN"/>
        </w:rPr>
        <w:t>实施真正让残疾人得到实惠，改善了残疾人生活水平。</w:t>
      </w:r>
      <w:r>
        <w:rPr>
          <w:rFonts w:hint="eastAsia" w:ascii="仿宋" w:hAnsi="仿宋" w:eastAsia="仿宋" w:cs="仿宋"/>
          <w:sz w:val="32"/>
          <w:szCs w:val="32"/>
          <w:highlight w:val="none"/>
          <w:lang w:val="en-US" w:eastAsia="zh-CN"/>
        </w:rPr>
        <w:t>年初目标值90%，实际完成90%。</w:t>
      </w:r>
    </w:p>
    <w:p w14:paraId="23C0E810">
      <w:pPr>
        <w:pStyle w:val="2"/>
        <w:bidi w:val="0"/>
        <w:rPr>
          <w:rFonts w:hint="eastAsia" w:ascii="仿宋" w:hAnsi="仿宋" w:eastAsia="仿宋" w:cs="仿宋"/>
          <w:highlight w:val="none"/>
          <w:lang w:val="en-US" w:eastAsia="zh-CN"/>
        </w:rPr>
      </w:pPr>
      <w:bookmarkStart w:id="10" w:name="_Toc29620"/>
      <w:r>
        <w:rPr>
          <w:rFonts w:hint="eastAsia" w:ascii="仿宋" w:hAnsi="仿宋" w:eastAsia="仿宋" w:cs="仿宋"/>
          <w:highlight w:val="none"/>
          <w:lang w:val="en-US" w:eastAsia="zh-CN"/>
        </w:rPr>
        <w:t>三、存在的问题和原因</w:t>
      </w:r>
      <w:bookmarkEnd w:id="10"/>
    </w:p>
    <w:p w14:paraId="407F35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列举导致年度绩效目标未完成或发生偏离存在的问题和原因。</w:t>
      </w:r>
    </w:p>
    <w:p w14:paraId="220F0C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加强</w:t>
      </w:r>
      <w:r>
        <w:rPr>
          <w:rFonts w:hint="eastAsia" w:ascii="仿宋" w:hAnsi="仿宋" w:eastAsia="仿宋" w:cs="仿宋"/>
          <w:i w:val="0"/>
          <w:iCs w:val="0"/>
          <w:caps w:val="0"/>
          <w:color w:val="000000"/>
          <w:spacing w:val="0"/>
          <w:sz w:val="32"/>
          <w:szCs w:val="32"/>
        </w:rPr>
        <w:t>残疾人康复科普知识宣传的实施，为丰富我</w:t>
      </w:r>
      <w:r>
        <w:rPr>
          <w:rFonts w:hint="eastAsia" w:ascii="仿宋" w:hAnsi="仿宋" w:eastAsia="仿宋" w:cs="仿宋"/>
          <w:i w:val="0"/>
          <w:iCs w:val="0"/>
          <w:caps w:val="0"/>
          <w:color w:val="000000"/>
          <w:spacing w:val="0"/>
          <w:sz w:val="32"/>
          <w:szCs w:val="32"/>
          <w:lang w:val="en-US" w:eastAsia="zh-CN"/>
        </w:rPr>
        <w:t>区</w:t>
      </w:r>
      <w:r>
        <w:rPr>
          <w:rFonts w:hint="eastAsia" w:ascii="仿宋" w:hAnsi="仿宋" w:eastAsia="仿宋" w:cs="仿宋"/>
          <w:i w:val="0"/>
          <w:iCs w:val="0"/>
          <w:caps w:val="0"/>
          <w:color w:val="000000"/>
          <w:spacing w:val="0"/>
          <w:sz w:val="32"/>
          <w:szCs w:val="32"/>
        </w:rPr>
        <w:t>广大人民群众和残障朋友的康复知识、提高康复意识，保障残疾人融入社会，改善残疾人生存状况，为残疾人“人人享有康复服务”发挥了重要的作用。但也存在着一些不足，一是康复科普知识折页内容有待更新；二是管理有待加强，与项目精细化管理要求存在</w:t>
      </w:r>
      <w:r>
        <w:rPr>
          <w:rFonts w:hint="eastAsia" w:ascii="仿宋" w:hAnsi="仿宋" w:eastAsia="仿宋" w:cs="仿宋"/>
          <w:i w:val="0"/>
          <w:iCs w:val="0"/>
          <w:caps w:val="0"/>
          <w:color w:val="000000"/>
          <w:spacing w:val="0"/>
          <w:sz w:val="32"/>
          <w:szCs w:val="32"/>
          <w:lang w:val="en-US" w:eastAsia="zh-CN"/>
        </w:rPr>
        <w:t>一定</w:t>
      </w:r>
      <w:r>
        <w:rPr>
          <w:rFonts w:hint="eastAsia" w:ascii="仿宋" w:hAnsi="仿宋" w:eastAsia="仿宋" w:cs="仿宋"/>
          <w:i w:val="0"/>
          <w:iCs w:val="0"/>
          <w:caps w:val="0"/>
          <w:color w:val="000000"/>
          <w:spacing w:val="0"/>
          <w:sz w:val="32"/>
          <w:szCs w:val="32"/>
        </w:rPr>
        <w:t>差距。</w:t>
      </w:r>
    </w:p>
    <w:p w14:paraId="7BDDC01B">
      <w:pPr>
        <w:pStyle w:val="2"/>
        <w:bidi w:val="0"/>
        <w:rPr>
          <w:rFonts w:hint="eastAsia" w:ascii="仿宋" w:hAnsi="仿宋" w:eastAsia="仿宋" w:cs="仿宋"/>
          <w:highlight w:val="none"/>
          <w:lang w:val="en-US" w:eastAsia="zh-CN"/>
        </w:rPr>
      </w:pPr>
      <w:bookmarkStart w:id="11" w:name="_Toc5103"/>
      <w:r>
        <w:rPr>
          <w:rFonts w:hint="eastAsia" w:ascii="仿宋" w:hAnsi="仿宋" w:eastAsia="仿宋" w:cs="仿宋"/>
          <w:highlight w:val="none"/>
          <w:lang w:val="en-US" w:eastAsia="zh-CN"/>
        </w:rPr>
        <w:t>四、下一步拟改进措施</w:t>
      </w:r>
      <w:bookmarkEnd w:id="11"/>
    </w:p>
    <w:p w14:paraId="0421A29D">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highlight w:val="none"/>
        </w:rPr>
      </w:pPr>
      <w:bookmarkStart w:id="12" w:name="_Toc10473"/>
      <w:r>
        <w:rPr>
          <w:rFonts w:hint="eastAsia" w:ascii="仿宋" w:hAnsi="仿宋" w:eastAsia="仿宋" w:cs="仿宋"/>
          <w:b w:val="0"/>
          <w:bCs/>
          <w:highlight w:val="none"/>
        </w:rPr>
        <w:t>1.下一步拟改进措施，包括项目整改和绩效目标调整完善等相关内容</w:t>
      </w:r>
      <w:bookmarkEnd w:id="12"/>
    </w:p>
    <w:p w14:paraId="7BE520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加强宣传</w:t>
      </w:r>
      <w:r>
        <w:rPr>
          <w:rFonts w:hint="eastAsia" w:ascii="仿宋" w:hAnsi="仿宋" w:eastAsia="仿宋" w:cs="仿宋"/>
          <w:sz w:val="32"/>
          <w:szCs w:val="32"/>
        </w:rPr>
        <w:t>广大人民群众不易接受和理解科普知识，需要围绕科普抓知识更新，使我们的宣传更贴近群众、贴近实际，务必使项目取得实效。精细化管理力度不够，要完善项目实施方案，明确完成任务的计划、目标和时间进度表，强化项目管理责任，不断增强项目执行的严肃性和约束力。</w:t>
      </w:r>
    </w:p>
    <w:p w14:paraId="2DEBEE6F">
      <w:pPr>
        <w:pStyle w:val="3"/>
        <w:numPr>
          <w:ilvl w:val="0"/>
          <w:numId w:val="1"/>
        </w:numPr>
        <w:bidi w:val="0"/>
        <w:jc w:val="left"/>
        <w:rPr>
          <w:rFonts w:hint="eastAsia" w:ascii="仿宋" w:hAnsi="仿宋" w:eastAsia="仿宋" w:cs="仿宋"/>
          <w:sz w:val="32"/>
          <w:szCs w:val="32"/>
          <w:highlight w:val="none"/>
        </w:rPr>
      </w:pPr>
      <w:bookmarkStart w:id="13" w:name="_Toc26603"/>
      <w:r>
        <w:rPr>
          <w:rFonts w:hint="eastAsia" w:ascii="仿宋" w:hAnsi="仿宋" w:eastAsia="仿宋" w:cs="仿宋"/>
          <w:b w:val="0"/>
          <w:bCs/>
          <w:highlight w:val="none"/>
        </w:rPr>
        <w:t>与预算安排相结合情况</w:t>
      </w:r>
      <w:bookmarkEnd w:id="13"/>
    </w:p>
    <w:p w14:paraId="378243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等线"/>
          <w:highlight w:val="none"/>
          <w:lang w:eastAsia="zh-CN"/>
        </w:rPr>
      </w:pPr>
      <w:bookmarkStart w:id="14" w:name="_Toc21576"/>
      <w:r>
        <w:rPr>
          <w:rFonts w:hint="eastAsia" w:ascii="仿宋" w:hAnsi="仿宋" w:eastAsia="仿宋" w:cs="仿宋"/>
          <w:sz w:val="32"/>
          <w:szCs w:val="32"/>
          <w:highlight w:val="none"/>
          <w:lang w:eastAsia="zh-CN"/>
        </w:rPr>
        <w:t>强化评价结果在部门预算编制和执行中的应用。实现绩效评价结果在部门预算编制和执行中的应用，实现绩效评价与部门预算的有机结合，促进财政资金的合理分配与有效使用。</w:t>
      </w:r>
    </w:p>
    <w:p w14:paraId="11A47C27">
      <w:pPr>
        <w:pStyle w:val="2"/>
        <w:bidi w:val="0"/>
        <w:rPr>
          <w:rFonts w:hint="eastAsia"/>
          <w:highlight w:val="none"/>
          <w:lang w:val="en-US" w:eastAsia="zh-CN"/>
        </w:rPr>
      </w:pPr>
      <w:r>
        <w:rPr>
          <w:rFonts w:hint="eastAsia"/>
          <w:highlight w:val="none"/>
          <w:lang w:val="en-US" w:eastAsia="zh-CN"/>
        </w:rPr>
        <w:t>五、评价结果</w:t>
      </w:r>
      <w:bookmarkEnd w:id="14"/>
    </w:p>
    <w:p w14:paraId="1B33E8F8">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highlight w:val="none"/>
        </w:rPr>
      </w:pPr>
      <w:bookmarkStart w:id="15" w:name="_Toc27000"/>
      <w:bookmarkStart w:id="16" w:name="_Toc75633771"/>
      <w:r>
        <w:rPr>
          <w:rFonts w:hint="eastAsia" w:ascii="仿宋" w:hAnsi="仿宋" w:eastAsia="仿宋" w:cs="仿宋"/>
          <w:b w:val="0"/>
          <w:bCs/>
          <w:highlight w:val="none"/>
        </w:rPr>
        <w:t>基本情况</w:t>
      </w:r>
      <w:bookmarkEnd w:id="15"/>
      <w:bookmarkEnd w:id="16"/>
      <w:bookmarkStart w:id="17" w:name="_Toc14165724"/>
      <w:bookmarkStart w:id="18" w:name="_Toc75633772"/>
    </w:p>
    <w:p w14:paraId="3CACCD6D">
      <w:pPr>
        <w:pStyle w:val="3"/>
        <w:keepNext/>
        <w:keepLines/>
        <w:pageBreakBefore w:val="0"/>
        <w:widowControl w:val="0"/>
        <w:numPr>
          <w:ilvl w:val="0"/>
          <w:numId w:val="3"/>
        </w:numPr>
        <w:kinsoku/>
        <w:wordWrap/>
        <w:overflowPunct/>
        <w:topLinePunct w:val="0"/>
        <w:autoSpaceDE/>
        <w:autoSpaceDN/>
        <w:bidi w:val="0"/>
        <w:adjustRightInd/>
        <w:snapToGrid/>
        <w:spacing w:line="413" w:lineRule="auto"/>
        <w:textAlignment w:val="auto"/>
        <w:rPr>
          <w:rFonts w:hint="eastAsia" w:ascii="仿宋" w:hAnsi="仿宋" w:eastAsia="仿宋" w:cs="仿宋"/>
          <w:b w:val="0"/>
          <w:bCs/>
          <w:highlight w:val="none"/>
        </w:rPr>
      </w:pPr>
      <w:bookmarkStart w:id="19" w:name="_Toc22466"/>
      <w:r>
        <w:rPr>
          <w:rFonts w:hint="eastAsia" w:ascii="仿宋" w:hAnsi="仿宋" w:eastAsia="仿宋" w:cs="仿宋"/>
          <w:b w:val="0"/>
          <w:bCs/>
          <w:highlight w:val="none"/>
        </w:rPr>
        <w:t>项目立项背景和依据</w:t>
      </w:r>
      <w:bookmarkEnd w:id="17"/>
      <w:bookmarkEnd w:id="18"/>
      <w:bookmarkEnd w:id="19"/>
    </w:p>
    <w:p w14:paraId="40DBBE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残疾人是一个特别需要关爱和帮助的社会群体，是社会保障和公共服务的重点人群。为做好残疾人康复工作，《国务院办公厅转发卫生部等部门关于进一步加强残疾人康复工作意见的通知》（国办发〔2002〕41 号），实现残疾人“人人享有康复服务”的目标</w:t>
      </w:r>
      <w:r>
        <w:rPr>
          <w:rFonts w:hint="eastAsia" w:ascii="仿宋" w:hAnsi="仿宋" w:eastAsia="仿宋" w:cs="仿宋"/>
          <w:sz w:val="32"/>
          <w:szCs w:val="32"/>
          <w:highlight w:val="none"/>
          <w:lang w:eastAsia="zh-CN"/>
        </w:rPr>
        <w:t>。</w:t>
      </w:r>
    </w:p>
    <w:p w14:paraId="1ED898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1、《关于做好 2020 年残疾人精准康复服务和辅具精准适配服务工作的通知》（鄂残联办函〔2020〕6 号）；根据市政府《关于印发武汉市残疾儿童精准康复实施方案的通知》（武政规【2019】7号）；《关于做好2020年武汉市残疾人康复工作的通知》（武残办〔2020〕1号）；为0-14岁残疾儿童实施精准康复，实现残疾人普遍享有基本康复服务。</w:t>
      </w:r>
    </w:p>
    <w:p w14:paraId="5B0DE98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关于加强贫困精神残疾人住院康复补助资金管理使用的通知》（武财社【2012】223号）；《关于做好2020年武汉市残疾人康复工作的通知》（武残办〔2020〕1号）；为住院的贫困精神残疾人提供补助，减轻其经济负担。</w:t>
      </w:r>
    </w:p>
    <w:p w14:paraId="453F655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关于加强贫困精神残疾人住院康复补助资金管理使用的通知》（武财社【2012】223号）；《关于做好2020年武汉市残疾人康复工作的通知》（武残办〔2020〕1号）；为住院的贫困精神残疾人提供补助，减轻其经济负担。</w:t>
      </w:r>
    </w:p>
    <w:p w14:paraId="7CD17A2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、《关于做好2020年武汉市残疾人康复工作的通知》（武残办〔2020〕1号）</w:t>
      </w:r>
    </w:p>
    <w:p w14:paraId="4C1910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关于加强贫困精神残疾人住院康复补助资金管理使用的通知》（武财社【2012】223号）；《关于做好2020年武汉市残疾人康复工作的通知》（武残办〔2020〕1号）；为住院的贫困精神残疾人提供补助，减轻其经济负担。</w:t>
      </w:r>
    </w:p>
    <w:p w14:paraId="1BA37CF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市残联〈关于做好2020年武汉市残疾人康复工作的通知〉（武残办〔2020〕1号）；为有需求的肢体残疾人家庭病床和社区康复服务。</w:t>
      </w:r>
    </w:p>
    <w:p w14:paraId="500086E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lang w:eastAsia="zh-CN"/>
        </w:rPr>
        <w:t>《关于做好 2020 年残疾人精准康复服务和辅具精准适配服务工作的通知》（鄂残联办函〔2020〕6 号）第三条“2020年工作要求”中指出：确保 2020 年残疾人基本康复服务覆盖率、辅助器具适配率达到 80%以上；《关于做好2020年武汉市残疾人康复工作的通知》（武残办〔2020〕1号）第一条指出：确保2020年残疾人基本康复服务覆盖率（含基本辅具适配率）达到90%。</w:t>
      </w:r>
    </w:p>
    <w:p w14:paraId="69E789F4">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highlight w:val="none"/>
          <w:lang w:eastAsia="zh-CN"/>
        </w:rPr>
      </w:pPr>
      <w:bookmarkStart w:id="20" w:name="_Toc75633773"/>
      <w:bookmarkStart w:id="21" w:name="_Toc14165725"/>
      <w:bookmarkStart w:id="22" w:name="_Toc3398"/>
      <w:r>
        <w:rPr>
          <w:rFonts w:hint="eastAsia" w:ascii="仿宋" w:hAnsi="仿宋" w:eastAsia="仿宋" w:cs="仿宋"/>
          <w:b w:val="0"/>
          <w:bCs/>
          <w:highlight w:val="none"/>
          <w:lang w:eastAsia="zh-CN"/>
        </w:rPr>
        <w:t>（</w:t>
      </w:r>
      <w:r>
        <w:rPr>
          <w:rFonts w:hint="eastAsia" w:ascii="仿宋" w:hAnsi="仿宋" w:eastAsia="仿宋" w:cs="仿宋"/>
          <w:b w:val="0"/>
          <w:bCs/>
          <w:highlight w:val="none"/>
          <w:lang w:val="en-US" w:eastAsia="zh-CN"/>
        </w:rPr>
        <w:t>2</w:t>
      </w:r>
      <w:r>
        <w:rPr>
          <w:rFonts w:hint="eastAsia" w:ascii="仿宋" w:hAnsi="仿宋" w:eastAsia="仿宋" w:cs="仿宋"/>
          <w:b w:val="0"/>
          <w:bCs/>
          <w:highlight w:val="none"/>
          <w:lang w:eastAsia="zh-CN"/>
        </w:rPr>
        <w:t>）项目绩效目标</w:t>
      </w:r>
      <w:bookmarkEnd w:id="20"/>
      <w:bookmarkEnd w:id="21"/>
      <w:bookmarkEnd w:id="22"/>
    </w:p>
    <w:p w14:paraId="406B987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完成2022年度残疾人康复经费发放，</w:t>
      </w:r>
      <w:r>
        <w:rPr>
          <w:rFonts w:hint="eastAsia" w:ascii="仿宋" w:hAnsi="仿宋" w:eastAsia="仿宋" w:cs="仿宋"/>
          <w:sz w:val="32"/>
          <w:szCs w:val="32"/>
          <w:highlight w:val="none"/>
          <w:lang w:eastAsia="zh-CN"/>
        </w:rPr>
        <w:t>提高残疾人生活水平。</w:t>
      </w:r>
    </w:p>
    <w:p w14:paraId="6FB63C54">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highlight w:val="none"/>
          <w:lang w:eastAsia="zh-CN"/>
        </w:rPr>
      </w:pPr>
      <w:bookmarkStart w:id="23" w:name="_Toc3522"/>
      <w:bookmarkStart w:id="24" w:name="_Toc14165726"/>
      <w:bookmarkStart w:id="25" w:name="_Toc75633774"/>
      <w:r>
        <w:rPr>
          <w:rFonts w:hint="eastAsia" w:ascii="仿宋" w:hAnsi="仿宋" w:eastAsia="仿宋" w:cs="仿宋"/>
          <w:b w:val="0"/>
          <w:bCs/>
          <w:highlight w:val="none"/>
          <w:lang w:eastAsia="zh-CN"/>
        </w:rPr>
        <w:t>（</w:t>
      </w:r>
      <w:r>
        <w:rPr>
          <w:rFonts w:hint="eastAsia" w:ascii="仿宋" w:hAnsi="仿宋" w:eastAsia="仿宋" w:cs="仿宋"/>
          <w:b w:val="0"/>
          <w:bCs/>
          <w:highlight w:val="none"/>
          <w:lang w:val="en-US" w:eastAsia="zh-CN"/>
        </w:rPr>
        <w:t>3</w:t>
      </w:r>
      <w:r>
        <w:rPr>
          <w:rFonts w:hint="eastAsia" w:ascii="仿宋" w:hAnsi="仿宋" w:eastAsia="仿宋" w:cs="仿宋"/>
          <w:b w:val="0"/>
          <w:bCs/>
          <w:highlight w:val="none"/>
          <w:lang w:eastAsia="zh-CN"/>
        </w:rPr>
        <w:t>）项目经费来源和使用情况</w:t>
      </w:r>
      <w:bookmarkEnd w:id="23"/>
      <w:bookmarkEnd w:id="24"/>
      <w:bookmarkEnd w:id="25"/>
    </w:p>
    <w:p w14:paraId="35422E35">
      <w:pPr>
        <w:snapToGrid w:val="0"/>
        <w:spacing w:line="360" w:lineRule="auto"/>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项目资金来源</w:t>
      </w:r>
    </w:p>
    <w:p w14:paraId="59248EA2">
      <w:pPr>
        <w:snapToGrid w:val="0"/>
        <w:spacing w:line="360" w:lineRule="auto"/>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康复经费</w:t>
      </w:r>
      <w:r>
        <w:rPr>
          <w:rFonts w:hint="eastAsia" w:ascii="仿宋" w:hAnsi="仿宋" w:eastAsia="仿宋" w:cs="仿宋"/>
          <w:sz w:val="32"/>
          <w:szCs w:val="32"/>
          <w:highlight w:val="none"/>
        </w:rPr>
        <w:t>”为连续性、</w:t>
      </w:r>
      <w:r>
        <w:rPr>
          <w:rFonts w:hint="eastAsia" w:ascii="仿宋" w:hAnsi="仿宋" w:eastAsia="仿宋" w:cs="仿宋"/>
          <w:sz w:val="32"/>
          <w:szCs w:val="32"/>
          <w:highlight w:val="none"/>
          <w:lang w:val="en-US" w:eastAsia="zh-CN"/>
        </w:rPr>
        <w:t>常年性</w:t>
      </w:r>
      <w:r>
        <w:rPr>
          <w:rFonts w:hint="eastAsia" w:ascii="仿宋" w:hAnsi="仿宋" w:eastAsia="仿宋" w:cs="仿宋"/>
          <w:sz w:val="32"/>
          <w:szCs w:val="32"/>
          <w:highlight w:val="none"/>
        </w:rPr>
        <w:t>项目。项目年初预算数为</w:t>
      </w:r>
      <w:r>
        <w:rPr>
          <w:rFonts w:hint="eastAsia" w:ascii="仿宋" w:hAnsi="仿宋" w:eastAsia="仿宋" w:cs="仿宋"/>
          <w:sz w:val="32"/>
          <w:szCs w:val="32"/>
          <w:highlight w:val="none"/>
          <w:lang w:val="en-US" w:eastAsia="zh-CN"/>
        </w:rPr>
        <w:t>480.00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。预算调增</w:t>
      </w:r>
      <w:r>
        <w:rPr>
          <w:rFonts w:hint="eastAsia" w:ascii="仿宋" w:hAnsi="仿宋" w:eastAsia="仿宋" w:cs="仿宋"/>
          <w:sz w:val="32"/>
          <w:szCs w:val="32"/>
          <w:highlight w:val="none"/>
          <w:lang w:eastAsia="zh-CN"/>
        </w:rPr>
        <w:t>450.68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为202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年部门预算项目，均系财政拨款。</w:t>
      </w:r>
    </w:p>
    <w:p w14:paraId="0F5E75AD">
      <w:pPr>
        <w:snapToGrid w:val="0"/>
        <w:spacing w:line="360" w:lineRule="auto"/>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项目资金使用概况</w:t>
      </w:r>
    </w:p>
    <w:p w14:paraId="7BEED9E4">
      <w:pPr>
        <w:snapToGrid w:val="0"/>
        <w:spacing w:line="360" w:lineRule="auto"/>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康复经费</w:t>
      </w:r>
      <w:r>
        <w:rPr>
          <w:rFonts w:hint="eastAsia" w:ascii="仿宋" w:hAnsi="仿宋" w:eastAsia="仿宋" w:cs="仿宋"/>
          <w:sz w:val="32"/>
          <w:szCs w:val="32"/>
          <w:highlight w:val="none"/>
        </w:rPr>
        <w:t>”项目计划支出</w:t>
      </w:r>
      <w:r>
        <w:rPr>
          <w:rFonts w:hint="eastAsia" w:ascii="仿宋" w:hAnsi="仿宋" w:eastAsia="仿宋" w:cs="仿宋"/>
          <w:sz w:val="32"/>
          <w:szCs w:val="32"/>
          <w:highlight w:val="none"/>
          <w:lang w:eastAsia="zh-CN"/>
        </w:rPr>
        <w:t>450.68</w:t>
      </w:r>
      <w:r>
        <w:rPr>
          <w:rFonts w:hint="eastAsia" w:ascii="仿宋" w:hAnsi="仿宋" w:eastAsia="仿宋" w:cs="仿宋"/>
          <w:sz w:val="32"/>
          <w:szCs w:val="32"/>
          <w:highlight w:val="none"/>
        </w:rPr>
        <w:t>万元，实际支出为</w:t>
      </w:r>
      <w:r>
        <w:rPr>
          <w:rFonts w:hint="eastAsia" w:ascii="仿宋" w:hAnsi="仿宋" w:eastAsia="仿宋" w:cs="仿宋"/>
          <w:sz w:val="32"/>
          <w:szCs w:val="32"/>
          <w:highlight w:val="none"/>
          <w:lang w:eastAsia="zh-CN"/>
        </w:rPr>
        <w:t>419.23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资金使用率为</w:t>
      </w:r>
      <w:r>
        <w:rPr>
          <w:rFonts w:hint="eastAsia" w:ascii="仿宋" w:hAnsi="仿宋" w:eastAsia="仿宋" w:cs="仿宋"/>
          <w:sz w:val="32"/>
          <w:szCs w:val="32"/>
          <w:highlight w:val="none"/>
          <w:lang w:eastAsia="zh-CN"/>
        </w:rPr>
        <w:t>93.02%</w:t>
      </w:r>
      <w:r>
        <w:rPr>
          <w:rFonts w:hint="eastAsia" w:ascii="仿宋" w:hAnsi="仿宋" w:eastAsia="仿宋" w:cs="仿宋"/>
          <w:sz w:val="32"/>
          <w:szCs w:val="32"/>
          <w:highlight w:val="none"/>
          <w:lang w:val="en-US" w:eastAsia="zh-CN"/>
        </w:rPr>
        <w:t>。</w:t>
      </w:r>
    </w:p>
    <w:p w14:paraId="49918D00">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highlight w:val="none"/>
          <w:lang w:eastAsia="zh-CN"/>
        </w:rPr>
      </w:pPr>
      <w:bookmarkStart w:id="26" w:name="_Toc680"/>
      <w:r>
        <w:rPr>
          <w:rFonts w:hint="eastAsia" w:ascii="仿宋" w:hAnsi="仿宋" w:eastAsia="仿宋" w:cs="仿宋"/>
          <w:b w:val="0"/>
          <w:bCs/>
          <w:highlight w:val="none"/>
          <w:lang w:eastAsia="zh-CN"/>
        </w:rPr>
        <w:t>（</w:t>
      </w:r>
      <w:r>
        <w:rPr>
          <w:rFonts w:hint="eastAsia" w:ascii="仿宋" w:hAnsi="仿宋" w:eastAsia="仿宋" w:cs="仿宋"/>
          <w:b w:val="0"/>
          <w:bCs/>
          <w:highlight w:val="none"/>
          <w:lang w:val="en-US" w:eastAsia="zh-CN"/>
        </w:rPr>
        <w:t>4</w:t>
      </w:r>
      <w:r>
        <w:rPr>
          <w:rFonts w:hint="eastAsia" w:ascii="仿宋" w:hAnsi="仿宋" w:eastAsia="仿宋" w:cs="仿宋"/>
          <w:b w:val="0"/>
          <w:bCs/>
          <w:highlight w:val="none"/>
          <w:lang w:eastAsia="zh-CN"/>
        </w:rPr>
        <w:t>）项目实施情况</w:t>
      </w:r>
      <w:bookmarkEnd w:id="26"/>
    </w:p>
    <w:p w14:paraId="7327CF2D">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1、项目实施单位：武汉市蔡甸区残疾人联合会</w:t>
      </w:r>
    </w:p>
    <w:p w14:paraId="71B60445">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康复经费</w:t>
      </w:r>
      <w:r>
        <w:rPr>
          <w:rFonts w:hint="eastAsia" w:ascii="仿宋" w:hAnsi="仿宋" w:eastAsia="仿宋" w:cs="仿宋"/>
          <w:sz w:val="32"/>
          <w:szCs w:val="32"/>
          <w:highlight w:val="none"/>
          <w:lang w:val="en-US" w:eastAsia="zh-CN"/>
        </w:rPr>
        <w:t>”项目主要内容：0-14岁残疾儿童精准康复补贴、低保家庭精神残疾人服药补贴、0-6岁残疾儿童康复救助家庭生活补助。</w:t>
      </w:r>
    </w:p>
    <w:p w14:paraId="453CBC64">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highlight w:val="none"/>
          <w:lang w:val="en-US" w:eastAsia="zh-CN"/>
        </w:rPr>
      </w:pPr>
      <w:bookmarkStart w:id="27" w:name="_Toc29849"/>
      <w:r>
        <w:rPr>
          <w:rFonts w:hint="eastAsia" w:ascii="仿宋" w:hAnsi="仿宋" w:eastAsia="仿宋" w:cs="仿宋"/>
          <w:b w:val="0"/>
          <w:bCs/>
          <w:highlight w:val="none"/>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highlight w:val="none"/>
          <w:lang w:val="en-US" w:eastAsia="zh-CN"/>
        </w:rPr>
        <w:t>开展情况</w:t>
      </w:r>
      <w:bookmarkEnd w:id="27"/>
    </w:p>
    <w:p w14:paraId="53104C7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highlight w:val="none"/>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highlight w:val="none"/>
          <w:lang w:val="en-US" w:eastAsia="zh-CN"/>
        </w:rPr>
        <w:t>。</w:t>
      </w:r>
    </w:p>
    <w:p w14:paraId="194E90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一、评价工作方法</w:t>
      </w:r>
      <w:bookmarkStart w:id="29" w:name="_GoBack"/>
      <w:bookmarkEnd w:id="29"/>
    </w:p>
    <w:p w14:paraId="7C2B5A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（一）绩效评价的方式包括现场评价和非现场评价方式。对2022年财政资金绩效评价采取现场评价的方式进行评价。</w:t>
      </w:r>
    </w:p>
    <w:p w14:paraId="67A9D2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7B94F25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2148D4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5B7119B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2D4300C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6B527E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（三）证据收集方法</w:t>
      </w:r>
    </w:p>
    <w:p w14:paraId="19B377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504A234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二、评分办法</w:t>
      </w:r>
    </w:p>
    <w:p w14:paraId="4AAB531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绩效评价结果采取评分与评级相结合的形式，具体分值和等级根据不同评价内容设定，体现客观公正，具有公信力。</w:t>
      </w:r>
    </w:p>
    <w:p w14:paraId="198024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三、评价实施步骤</w:t>
      </w:r>
    </w:p>
    <w:p w14:paraId="39053E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（一）成立绩效评价项目小组</w:t>
      </w:r>
    </w:p>
    <w:p w14:paraId="178841D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70B9BEA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（二）绩效评价实施过程</w:t>
      </w:r>
    </w:p>
    <w:p w14:paraId="2DC2F9B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1．制定绩效评价工作方案，工作方案包括绩效评价实施方案、评价指标体系</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评价标准、基础数据表、绩效评价资料清单。项目小组对绩效评价相关事项进行讨论与研究，反复商讨并制定绩效评价指标体系以</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所需的基础数据表，确定评价证据、数据来源</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证据收集方法。</w:t>
      </w:r>
    </w:p>
    <w:p w14:paraId="30943E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2．根据制定的绩效评价工作方案，收集项目实施单位项目实施材料，通过现场评价方法进行绩效评价。包括收集、审核基础资料；开展现场核查，核实项目是否实施以</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项目实施情况是否良好，并进行拍照留痕；对收集的证据运用科学的方法进行综合分析。</w:t>
      </w:r>
    </w:p>
    <w:p w14:paraId="0F9727B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3．根据分析后的情况评分，形成综合评价结果，将评价结果纳入已确定的各项指标临界区间进行比较，确定绩效评价等级。</w:t>
      </w:r>
    </w:p>
    <w:p w14:paraId="1CC4E5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4．对评价工作进行总结，将项目基本情况、项目单位绩效报告情况、绩效评价工作情况、评价分析</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评价结果、评价等级、经验</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做法、问题</w:t>
      </w:r>
      <w:r>
        <w:rPr>
          <w:rFonts w:hint="eastAsia" w:ascii="仿宋" w:hAnsi="仿宋" w:eastAsia="仿宋" w:cs="仿宋"/>
          <w:sz w:val="32"/>
          <w:szCs w:val="32"/>
          <w:highlight w:val="yellow"/>
          <w:lang w:val="en-US" w:eastAsia="zh-CN"/>
        </w:rPr>
        <w:t>及</w:t>
      </w:r>
      <w:r>
        <w:rPr>
          <w:rFonts w:hint="eastAsia" w:ascii="仿宋" w:hAnsi="仿宋" w:eastAsia="仿宋" w:cs="仿宋"/>
          <w:sz w:val="32"/>
          <w:szCs w:val="32"/>
          <w:highlight w:val="none"/>
          <w:lang w:val="en-US" w:eastAsia="zh-CN"/>
        </w:rPr>
        <w:t>建议等形成书面报告，向区残联汇报。</w:t>
      </w:r>
    </w:p>
    <w:p w14:paraId="5F05CD71">
      <w:pPr>
        <w:pStyle w:val="3"/>
        <w:bidi w:val="0"/>
        <w:spacing w:line="240" w:lineRule="auto"/>
        <w:rPr>
          <w:rFonts w:hint="eastAsia" w:ascii="仿宋" w:hAnsi="仿宋" w:eastAsia="仿宋" w:cs="仿宋"/>
          <w:b w:val="0"/>
          <w:bCs/>
          <w:highlight w:val="none"/>
          <w:lang w:val="en-US" w:eastAsia="zh-CN"/>
        </w:rPr>
      </w:pPr>
      <w:bookmarkStart w:id="28" w:name="_Toc20937"/>
      <w:r>
        <w:rPr>
          <w:rFonts w:hint="eastAsia" w:ascii="仿宋" w:hAnsi="仿宋" w:eastAsia="仿宋" w:cs="仿宋"/>
          <w:b w:val="0"/>
          <w:bCs/>
          <w:highlight w:val="none"/>
          <w:lang w:val="en-US" w:eastAsia="zh-CN"/>
        </w:rPr>
        <w:t>（三）绩效评价结果</w:t>
      </w:r>
      <w:bookmarkEnd w:id="28"/>
    </w:p>
    <w:p w14:paraId="42933E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“康复经费”项目</w:t>
      </w:r>
      <w:r>
        <w:rPr>
          <w:rFonts w:hint="eastAsia" w:ascii="仿宋" w:hAnsi="仿宋" w:eastAsia="仿宋" w:cs="仿宋"/>
          <w:sz w:val="32"/>
          <w:szCs w:val="32"/>
          <w:highlight w:val="none"/>
          <w:lang w:val="en-US" w:eastAsia="zh-CN"/>
        </w:rPr>
        <w:t>年初设定</w:t>
      </w:r>
      <w:r>
        <w:rPr>
          <w:rFonts w:hint="eastAsia" w:ascii="仿宋" w:hAnsi="仿宋" w:eastAsia="仿宋" w:cs="仿宋"/>
          <w:sz w:val="32"/>
          <w:szCs w:val="32"/>
          <w:highlight w:val="none"/>
          <w:lang w:eastAsia="zh-CN"/>
        </w:rPr>
        <w:t>绩效目标完成，</w:t>
      </w:r>
      <w:r>
        <w:rPr>
          <w:rFonts w:hint="eastAsia" w:ascii="仿宋" w:hAnsi="仿宋" w:eastAsia="仿宋" w:cs="仿宋"/>
          <w:sz w:val="32"/>
          <w:szCs w:val="32"/>
          <w:highlight w:val="none"/>
          <w:lang w:val="en-US" w:eastAsia="zh-CN"/>
        </w:rPr>
        <w:t>预算执行率93.02%，</w:t>
      </w:r>
      <w:r>
        <w:rPr>
          <w:rFonts w:hint="eastAsia" w:ascii="Times New Roman" w:hAnsi="Times New Roman" w:eastAsia="仿宋_GB2312" w:cs="Times New Roman"/>
          <w:kern w:val="0"/>
          <w:sz w:val="32"/>
          <w:szCs w:val="32"/>
          <w:lang w:val="en-US" w:eastAsia="zh-CN"/>
        </w:rPr>
        <w:t>资金使用较为规范，项目产出较好，并取得了较好的社会效益。</w:t>
      </w:r>
    </w:p>
    <w:p w14:paraId="46CA72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rPr>
      </w:pPr>
    </w:p>
    <w:p w14:paraId="6B7C9F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附：2022年度康复经费项目自评表</w:t>
      </w:r>
    </w:p>
    <w:p w14:paraId="1330E9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highlight w:val="none"/>
          <w:lang w:val="en-US" w:eastAsia="zh-CN"/>
        </w:rPr>
      </w:pPr>
    </w:p>
    <w:p w14:paraId="223E8A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06D887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34C63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2A6A1E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11327B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1C8013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64D14C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p>
    <w:p w14:paraId="586BCC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2022年度康复经费项目自评表</w:t>
      </w:r>
    </w:p>
    <w:p w14:paraId="6000A2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单位名称：</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武汉市蔡甸区残疾人联合会</w:t>
      </w:r>
      <w:r>
        <w:rPr>
          <w:rFonts w:hint="eastAsia" w:ascii="仿宋" w:hAnsi="仿宋" w:eastAsia="仿宋" w:cs="仿宋"/>
          <w:sz w:val="24"/>
          <w:szCs w:val="24"/>
          <w:highlight w:val="none"/>
          <w:lang w:val="en-US" w:eastAsia="zh-CN"/>
        </w:rPr>
        <w:tab/>
      </w:r>
      <w:r>
        <w:rPr>
          <w:rFonts w:hint="eastAsia" w:ascii="仿宋" w:hAnsi="仿宋" w:eastAsia="仿宋" w:cs="仿宋"/>
          <w:sz w:val="24"/>
          <w:szCs w:val="24"/>
          <w:highlight w:val="none"/>
          <w:lang w:val="en-US" w:eastAsia="zh-CN"/>
        </w:rPr>
        <w:t xml:space="preserve">         填报日期：2023年3月24日</w:t>
      </w:r>
    </w:p>
    <w:tbl>
      <w:tblPr>
        <w:tblStyle w:val="10"/>
        <w:tblW w:w="5527" w:type="pct"/>
        <w:tblInd w:w="-6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200"/>
        <w:gridCol w:w="989"/>
        <w:gridCol w:w="1300"/>
        <w:gridCol w:w="967"/>
        <w:gridCol w:w="922"/>
        <w:gridCol w:w="622"/>
        <w:gridCol w:w="987"/>
        <w:gridCol w:w="140"/>
        <w:gridCol w:w="1294"/>
      </w:tblGrid>
      <w:tr w14:paraId="14CB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B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8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D5B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康复经费项目</w:t>
            </w:r>
          </w:p>
        </w:tc>
      </w:tr>
      <w:tr w14:paraId="49A5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9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2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E92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6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项目实施单位</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2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武汉市蔡甸区残疾人联合会</w:t>
            </w:r>
          </w:p>
        </w:tc>
      </w:tr>
      <w:tr w14:paraId="1305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93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预算执行情况    </w:t>
            </w:r>
          </w:p>
          <w:p w14:paraId="484D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（万元）</w:t>
            </w:r>
          </w:p>
        </w:tc>
        <w:tc>
          <w:tcPr>
            <w:tcW w:w="1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61A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E83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预算数（A）</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92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执行数（B）</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7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执行率（B/A）</w:t>
            </w:r>
          </w:p>
        </w:tc>
      </w:tr>
      <w:tr w14:paraId="4006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E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F392F">
            <w:pPr>
              <w:keepNext w:val="0"/>
              <w:keepLines w:val="0"/>
              <w:widowControl/>
              <w:suppressLineNumbers w:val="0"/>
              <w:spacing w:before="0" w:beforeAutospacing="0" w:after="0" w:afterAutospacing="0"/>
              <w:ind w:left="0" w:right="0" w:firstLineChars="2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一般预算内拨款</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9F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450.68 </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16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419.23 </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8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93.02%</w:t>
            </w:r>
          </w:p>
        </w:tc>
      </w:tr>
      <w:tr w14:paraId="6105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C2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1F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06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450.68 </w:t>
            </w:r>
          </w:p>
        </w:tc>
        <w:tc>
          <w:tcPr>
            <w:tcW w:w="5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65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419.23 </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4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93.02%</w:t>
            </w:r>
          </w:p>
        </w:tc>
      </w:tr>
      <w:tr w14:paraId="0C5F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D7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年度绩效目标完成情况</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C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B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5B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E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年初目标值</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4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A7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未完成原因</w:t>
            </w:r>
            <w:r>
              <w:rPr>
                <w:rFonts w:hint="eastAsia" w:ascii="宋体" w:hAnsi="宋体" w:eastAsia="宋体" w:cs="宋体"/>
                <w:i w:val="0"/>
                <w:iCs w:val="0"/>
                <w:color w:val="000000"/>
                <w:kern w:val="0"/>
                <w:sz w:val="21"/>
                <w:szCs w:val="21"/>
                <w:highlight w:val="yellow"/>
                <w:u w:val="none"/>
                <w:lang w:val="en-US" w:eastAsia="zh-CN" w:bidi="ar"/>
              </w:rPr>
              <w:t>及</w:t>
            </w:r>
            <w:r>
              <w:rPr>
                <w:rFonts w:hint="eastAsia" w:ascii="宋体" w:hAnsi="宋体" w:eastAsia="宋体" w:cs="宋体"/>
                <w:i w:val="0"/>
                <w:iCs w:val="0"/>
                <w:color w:val="000000"/>
                <w:kern w:val="0"/>
                <w:sz w:val="21"/>
                <w:szCs w:val="21"/>
                <w:u w:val="none"/>
                <w:lang w:val="en-US" w:eastAsia="zh-CN" w:bidi="ar"/>
              </w:rPr>
              <w:t>改进措施</w:t>
            </w:r>
          </w:p>
        </w:tc>
      </w:tr>
      <w:tr w14:paraId="0F3C1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BA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F2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524" w:type="pct"/>
            <w:vMerge w:val="restart"/>
            <w:tcBorders>
              <w:top w:val="single" w:color="000000" w:sz="4" w:space="0"/>
              <w:left w:val="single" w:color="000000" w:sz="4" w:space="0"/>
              <w:bottom w:val="nil"/>
              <w:right w:val="single" w:color="000000" w:sz="4" w:space="0"/>
            </w:tcBorders>
            <w:shd w:val="clear" w:color="auto" w:fill="auto"/>
            <w:vAlign w:val="center"/>
          </w:tcPr>
          <w:p w14:paraId="4B035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C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残疾人精神服药补贴人次</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F1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1.7万人次</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57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1.73万人次</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5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5518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DB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55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nil"/>
              <w:right w:val="single" w:color="000000" w:sz="4" w:space="0"/>
            </w:tcBorders>
            <w:shd w:val="clear" w:color="auto" w:fill="auto"/>
            <w:vAlign w:val="center"/>
          </w:tcPr>
          <w:p w14:paraId="27A0D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B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0-14岁儿童康复训练人数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6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160人</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5A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162人</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A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6DC6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6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19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nil"/>
              <w:right w:val="single" w:color="000000" w:sz="4" w:space="0"/>
            </w:tcBorders>
            <w:shd w:val="clear" w:color="auto" w:fill="auto"/>
            <w:vAlign w:val="center"/>
          </w:tcPr>
          <w:p w14:paraId="665247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87B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0-6岁残疾儿童康复救助家庭生活补助</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94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100人</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C8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129人</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75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1690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34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E2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68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FE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补贴对象合规率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C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CF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1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3F41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E3F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CD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0A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61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残疾人精准康复服务率</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F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5C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97.24%</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27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74B2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0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A1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2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93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yellow"/>
                <w:u w:val="none"/>
                <w:lang w:val="en-US" w:eastAsia="zh-CN" w:bidi="ar"/>
              </w:rPr>
              <w:t>及</w:t>
            </w:r>
            <w:r>
              <w:rPr>
                <w:rFonts w:hint="eastAsia" w:ascii="宋体" w:hAnsi="宋体" w:eastAsia="宋体" w:cs="宋体"/>
                <w:i w:val="0"/>
                <w:iCs w:val="0"/>
                <w:color w:val="000000"/>
                <w:kern w:val="0"/>
                <w:sz w:val="21"/>
                <w:szCs w:val="21"/>
                <w:u w:val="none"/>
                <w:lang w:val="en-US" w:eastAsia="zh-CN" w:bidi="ar"/>
              </w:rPr>
              <w:t>时完成补贴下发任务</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0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12月前</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3D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12月前</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3D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5B62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19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00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5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D0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58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营造良好的助残帮残社会氛围</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4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B7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BE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067F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E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424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5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B4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04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提高残疾人生活水平</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D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23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3A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6F6D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4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D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E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53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康复补贴对象满意度</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3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83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35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w:t>
            </w:r>
          </w:p>
        </w:tc>
      </w:tr>
      <w:tr w14:paraId="6854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5000" w:type="pct"/>
            <w:gridSpan w:val="10"/>
            <w:tcBorders>
              <w:top w:val="nil"/>
              <w:left w:val="nil"/>
              <w:bottom w:val="nil"/>
              <w:right w:val="nil"/>
            </w:tcBorders>
            <w:shd w:val="clear" w:color="auto" w:fill="auto"/>
            <w:vAlign w:val="center"/>
          </w:tcPr>
          <w:p w14:paraId="1D348D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备注：1.预算执行情况口径：预算数为调整后项目预算总额（包括上年结余结转），执行数为项目实际完成支出。</w:t>
            </w:r>
          </w:p>
          <w:p w14:paraId="4F388B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2.定性指标分档原则：分为达成预期指标、部分达成预期指标并具有一定效果、未达成预期指标且效果较差三档。选择部分达成或未达成的，必须说明原因和改进措施。</w:t>
            </w:r>
          </w:p>
          <w:p w14:paraId="52C24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3.基于经济性和必要性等因素考虑，满意度指标难以统计的，在自评时可不作为必评指标。</w:t>
            </w:r>
          </w:p>
        </w:tc>
      </w:tr>
    </w:tbl>
    <w:p w14:paraId="7301B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highlight w:val="none"/>
          <w:lang w:val="en-US" w:eastAsia="zh-CN"/>
        </w:rPr>
      </w:pPr>
    </w:p>
    <w:p w14:paraId="2BB8A124">
      <w:pPr>
        <w:rPr>
          <w:rFonts w:hint="eastAsia" w:ascii="仿宋" w:hAnsi="仿宋" w:eastAsia="仿宋" w:cs="仿宋"/>
          <w:highlight w:val="none"/>
          <w:lang w:val="en-US" w:eastAsia="zh-CN"/>
        </w:rPr>
      </w:pPr>
    </w:p>
    <w:p w14:paraId="45014C84">
      <w:pPr>
        <w:rPr>
          <w:rFonts w:hint="eastAsia" w:ascii="仿宋" w:hAnsi="仿宋" w:eastAsia="仿宋" w:cs="仿宋"/>
          <w:highlight w:val="none"/>
          <w:lang w:val="en-US" w:eastAsia="zh-CN"/>
        </w:rPr>
      </w:pPr>
    </w:p>
    <w:p w14:paraId="0886211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8"/>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1D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6F05F">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6F05F">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2BFC3"/>
    <w:multiLevelType w:val="singleLevel"/>
    <w:tmpl w:val="F722BFC3"/>
    <w:lvl w:ilvl="0" w:tentative="0">
      <w:start w:val="1"/>
      <w:numFmt w:val="decimal"/>
      <w:suff w:val="nothing"/>
      <w:lvlText w:val="（%1）"/>
      <w:lvlJc w:val="left"/>
    </w:lvl>
  </w:abstractNum>
  <w:abstractNum w:abstractNumId="1">
    <w:nsid w:val="18061192"/>
    <w:multiLevelType w:val="singleLevel"/>
    <w:tmpl w:val="18061192"/>
    <w:lvl w:ilvl="0" w:tentative="0">
      <w:start w:val="1"/>
      <w:numFmt w:val="chineseCounting"/>
      <w:suff w:val="nothing"/>
      <w:lvlText w:val="（%1）"/>
      <w:lvlJc w:val="left"/>
      <w:rPr>
        <w:rFonts w:hint="eastAsia"/>
      </w:rPr>
    </w:lvl>
  </w:abstractNum>
  <w:abstractNum w:abstractNumId="2">
    <w:nsid w:val="77BFE4E9"/>
    <w:multiLevelType w:val="singleLevel"/>
    <w:tmpl w:val="77BFE4E9"/>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DB20F7"/>
    <w:rsid w:val="01D12314"/>
    <w:rsid w:val="02C848FD"/>
    <w:rsid w:val="03754B1C"/>
    <w:rsid w:val="03DC5D91"/>
    <w:rsid w:val="04DB3E3D"/>
    <w:rsid w:val="04E56069"/>
    <w:rsid w:val="067526A6"/>
    <w:rsid w:val="070D0B30"/>
    <w:rsid w:val="077C1AA9"/>
    <w:rsid w:val="09680BF5"/>
    <w:rsid w:val="0BE15715"/>
    <w:rsid w:val="0D3A1F53"/>
    <w:rsid w:val="0DF557A5"/>
    <w:rsid w:val="0E570646"/>
    <w:rsid w:val="0E681446"/>
    <w:rsid w:val="0F19203C"/>
    <w:rsid w:val="0F41684C"/>
    <w:rsid w:val="0FFD0285"/>
    <w:rsid w:val="11317B11"/>
    <w:rsid w:val="119B45DC"/>
    <w:rsid w:val="11C97EA9"/>
    <w:rsid w:val="12504999"/>
    <w:rsid w:val="12D469A6"/>
    <w:rsid w:val="137B32C6"/>
    <w:rsid w:val="13E37C99"/>
    <w:rsid w:val="141C6AA3"/>
    <w:rsid w:val="14C8078D"/>
    <w:rsid w:val="15121A08"/>
    <w:rsid w:val="16A8138C"/>
    <w:rsid w:val="16B22609"/>
    <w:rsid w:val="16B965DF"/>
    <w:rsid w:val="16F874F3"/>
    <w:rsid w:val="18890233"/>
    <w:rsid w:val="18950986"/>
    <w:rsid w:val="190B2C9C"/>
    <w:rsid w:val="1AA01C45"/>
    <w:rsid w:val="1B857278"/>
    <w:rsid w:val="1CA218C3"/>
    <w:rsid w:val="1CBD7C6E"/>
    <w:rsid w:val="1CE96785"/>
    <w:rsid w:val="1EC45C73"/>
    <w:rsid w:val="1F1D51D6"/>
    <w:rsid w:val="1FBD682C"/>
    <w:rsid w:val="1FE305DB"/>
    <w:rsid w:val="213D7C44"/>
    <w:rsid w:val="2228286B"/>
    <w:rsid w:val="222B739A"/>
    <w:rsid w:val="22386CFF"/>
    <w:rsid w:val="231449BC"/>
    <w:rsid w:val="23F36750"/>
    <w:rsid w:val="240F74C0"/>
    <w:rsid w:val="2560558E"/>
    <w:rsid w:val="263E440B"/>
    <w:rsid w:val="265F25D3"/>
    <w:rsid w:val="27D112AE"/>
    <w:rsid w:val="27E234BC"/>
    <w:rsid w:val="27E30014"/>
    <w:rsid w:val="288C2760"/>
    <w:rsid w:val="294C6E3F"/>
    <w:rsid w:val="2A263B34"/>
    <w:rsid w:val="2D40315E"/>
    <w:rsid w:val="2D8E21B6"/>
    <w:rsid w:val="2E7E181F"/>
    <w:rsid w:val="2FAD736C"/>
    <w:rsid w:val="313034EA"/>
    <w:rsid w:val="31DF2D48"/>
    <w:rsid w:val="3219405C"/>
    <w:rsid w:val="324C7EAF"/>
    <w:rsid w:val="330570DF"/>
    <w:rsid w:val="33D60378"/>
    <w:rsid w:val="33FB393B"/>
    <w:rsid w:val="340C1D48"/>
    <w:rsid w:val="34C44674"/>
    <w:rsid w:val="34C47962"/>
    <w:rsid w:val="351516AA"/>
    <w:rsid w:val="358E5ABD"/>
    <w:rsid w:val="368340BC"/>
    <w:rsid w:val="3699568D"/>
    <w:rsid w:val="36E258AA"/>
    <w:rsid w:val="370A4414"/>
    <w:rsid w:val="37B2048A"/>
    <w:rsid w:val="38691B7D"/>
    <w:rsid w:val="38C561D7"/>
    <w:rsid w:val="38E515B8"/>
    <w:rsid w:val="39A955B8"/>
    <w:rsid w:val="3A872F07"/>
    <w:rsid w:val="3AFC4BC0"/>
    <w:rsid w:val="3E8E35FE"/>
    <w:rsid w:val="3F2C6E75"/>
    <w:rsid w:val="3FBE4A6C"/>
    <w:rsid w:val="3FCC0881"/>
    <w:rsid w:val="400A1882"/>
    <w:rsid w:val="409949EC"/>
    <w:rsid w:val="412C5A7C"/>
    <w:rsid w:val="42C81E5B"/>
    <w:rsid w:val="430C7DDC"/>
    <w:rsid w:val="439B47F3"/>
    <w:rsid w:val="444F5357"/>
    <w:rsid w:val="459040FF"/>
    <w:rsid w:val="46957C1F"/>
    <w:rsid w:val="477137B3"/>
    <w:rsid w:val="47C72840"/>
    <w:rsid w:val="48BB5339"/>
    <w:rsid w:val="499C73AB"/>
    <w:rsid w:val="4A1277D9"/>
    <w:rsid w:val="4A1470AD"/>
    <w:rsid w:val="4A6242BC"/>
    <w:rsid w:val="4B775167"/>
    <w:rsid w:val="4BC602FA"/>
    <w:rsid w:val="4BCD342E"/>
    <w:rsid w:val="4BD9235C"/>
    <w:rsid w:val="4C35402C"/>
    <w:rsid w:val="4C8B65CE"/>
    <w:rsid w:val="4CA02D6C"/>
    <w:rsid w:val="4CB61310"/>
    <w:rsid w:val="4DAE5A6A"/>
    <w:rsid w:val="4FD01CC8"/>
    <w:rsid w:val="50055E16"/>
    <w:rsid w:val="500E201A"/>
    <w:rsid w:val="50210776"/>
    <w:rsid w:val="5034137F"/>
    <w:rsid w:val="5105691F"/>
    <w:rsid w:val="51255DA0"/>
    <w:rsid w:val="51594625"/>
    <w:rsid w:val="523658AC"/>
    <w:rsid w:val="525035C4"/>
    <w:rsid w:val="52E42E4C"/>
    <w:rsid w:val="54806B30"/>
    <w:rsid w:val="562468CA"/>
    <w:rsid w:val="563C1270"/>
    <w:rsid w:val="56B43E12"/>
    <w:rsid w:val="57663661"/>
    <w:rsid w:val="576B32B2"/>
    <w:rsid w:val="578A358B"/>
    <w:rsid w:val="57DA1F20"/>
    <w:rsid w:val="59376914"/>
    <w:rsid w:val="59F76F17"/>
    <w:rsid w:val="5AE045D7"/>
    <w:rsid w:val="5AE451B8"/>
    <w:rsid w:val="5AF50835"/>
    <w:rsid w:val="5C2422F3"/>
    <w:rsid w:val="5CC93D27"/>
    <w:rsid w:val="5D7E05D6"/>
    <w:rsid w:val="5DAD2909"/>
    <w:rsid w:val="5E5C2D0D"/>
    <w:rsid w:val="5EC16AEE"/>
    <w:rsid w:val="5F1D4FFB"/>
    <w:rsid w:val="5F6BD33C"/>
    <w:rsid w:val="5FCC092D"/>
    <w:rsid w:val="60374683"/>
    <w:rsid w:val="614E0C9F"/>
    <w:rsid w:val="61FC6161"/>
    <w:rsid w:val="6282384E"/>
    <w:rsid w:val="644912D6"/>
    <w:rsid w:val="64C51278"/>
    <w:rsid w:val="65A771A3"/>
    <w:rsid w:val="6622352C"/>
    <w:rsid w:val="678379BF"/>
    <w:rsid w:val="67FB2B15"/>
    <w:rsid w:val="68666B58"/>
    <w:rsid w:val="68BC1DAF"/>
    <w:rsid w:val="6A1A3E14"/>
    <w:rsid w:val="6B0B56DA"/>
    <w:rsid w:val="6C061F17"/>
    <w:rsid w:val="6DE90B5F"/>
    <w:rsid w:val="6E6B222A"/>
    <w:rsid w:val="6E786E93"/>
    <w:rsid w:val="6FAB0E8B"/>
    <w:rsid w:val="6FCC3E02"/>
    <w:rsid w:val="6FEF3CB1"/>
    <w:rsid w:val="70311EB7"/>
    <w:rsid w:val="70574542"/>
    <w:rsid w:val="70A24B63"/>
    <w:rsid w:val="71472C6B"/>
    <w:rsid w:val="720E0702"/>
    <w:rsid w:val="72686AB7"/>
    <w:rsid w:val="736D2902"/>
    <w:rsid w:val="73A429A0"/>
    <w:rsid w:val="74015526"/>
    <w:rsid w:val="740E7362"/>
    <w:rsid w:val="74910F9E"/>
    <w:rsid w:val="74DB0643"/>
    <w:rsid w:val="75B726B5"/>
    <w:rsid w:val="76994E49"/>
    <w:rsid w:val="771245DB"/>
    <w:rsid w:val="794B30CB"/>
    <w:rsid w:val="795E2881"/>
    <w:rsid w:val="79C913B2"/>
    <w:rsid w:val="7A602ED9"/>
    <w:rsid w:val="7B5178B1"/>
    <w:rsid w:val="7B89704B"/>
    <w:rsid w:val="7B8A14E5"/>
    <w:rsid w:val="7BB83C85"/>
    <w:rsid w:val="7CE000AD"/>
    <w:rsid w:val="7D5F62B6"/>
    <w:rsid w:val="7DF1701B"/>
    <w:rsid w:val="7ECC6D7D"/>
    <w:rsid w:val="7F545497"/>
    <w:rsid w:val="F77B5DFA"/>
    <w:rsid w:val="F7FBAD39"/>
    <w:rsid w:val="FB56B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
    <w:name w:val="标题 2 Char"/>
    <w:link w:val="3"/>
    <w:qFormat/>
    <w:uiPriority w:val="0"/>
    <w:rPr>
      <w:rFonts w:ascii="Arial" w:hAnsi="Arial" w:eastAsia="黑体"/>
      <w:b/>
      <w:sz w:val="32"/>
    </w:rPr>
  </w:style>
  <w:style w:type="paragraph" w:customStyle="1" w:styleId="14">
    <w:name w:val="WPSOffice手动目录 1"/>
    <w:qFormat/>
    <w:uiPriority w:val="0"/>
    <w:pPr>
      <w:ind w:leftChars="0"/>
    </w:pPr>
    <w:rPr>
      <w:rFonts w:ascii="Calibri" w:hAnsi="Calibri" w:eastAsia="宋体" w:cs="Calibri"/>
      <w:sz w:val="20"/>
      <w:szCs w:val="20"/>
    </w:rPr>
  </w:style>
  <w:style w:type="paragraph" w:customStyle="1" w:styleId="15">
    <w:name w:val="WPSOffice手动目录 2"/>
    <w:qFormat/>
    <w:uiPriority w:val="0"/>
    <w:pPr>
      <w:ind w:leftChars="200"/>
    </w:pPr>
    <w:rPr>
      <w:rFonts w:ascii="Calibri" w:hAnsi="Calibri" w:eastAsia="宋体" w:cs="Calibri"/>
      <w:sz w:val="20"/>
      <w:szCs w:val="20"/>
    </w:rPr>
  </w:style>
  <w:style w:type="paragraph" w:customStyle="1" w:styleId="16">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2025-12-11T16:34:11Z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D35BA55506879E8903823A69912BD63D_43</vt:lpwstr>
  </property>
</Properties>
</file>