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E1397">
      <w:pPr>
        <w:spacing w:line="360" w:lineRule="auto"/>
        <w:ind w:firstLine="880" w:firstLineChars="200"/>
        <w:jc w:val="center"/>
        <w:rPr>
          <w:rFonts w:hint="eastAsia" w:ascii="仿宋" w:hAnsi="仿宋" w:eastAsia="仿宋" w:cs="仿宋"/>
          <w:sz w:val="44"/>
          <w:szCs w:val="44"/>
        </w:rPr>
      </w:pPr>
    </w:p>
    <w:p w14:paraId="353FFD57">
      <w:pPr>
        <w:spacing w:line="360" w:lineRule="auto"/>
        <w:ind w:firstLine="880" w:firstLineChars="200"/>
        <w:jc w:val="center"/>
        <w:rPr>
          <w:rFonts w:hint="eastAsia" w:ascii="仿宋" w:hAnsi="仿宋" w:eastAsia="仿宋" w:cs="仿宋"/>
          <w:sz w:val="44"/>
          <w:szCs w:val="44"/>
        </w:rPr>
      </w:pPr>
    </w:p>
    <w:p w14:paraId="57C1AA02">
      <w:pPr>
        <w:spacing w:line="360" w:lineRule="auto"/>
        <w:ind w:firstLine="880" w:firstLineChars="200"/>
        <w:jc w:val="center"/>
        <w:rPr>
          <w:rFonts w:hint="eastAsia" w:ascii="仿宋" w:hAnsi="仿宋" w:eastAsia="仿宋" w:cs="仿宋"/>
          <w:sz w:val="44"/>
          <w:szCs w:val="44"/>
        </w:rPr>
      </w:pPr>
    </w:p>
    <w:p w14:paraId="12D948AD">
      <w:pPr>
        <w:spacing w:line="360" w:lineRule="auto"/>
        <w:ind w:firstLine="880" w:firstLineChars="200"/>
        <w:jc w:val="center"/>
        <w:rPr>
          <w:rFonts w:hint="eastAsia" w:ascii="仿宋" w:hAnsi="仿宋" w:eastAsia="仿宋" w:cs="仿宋"/>
          <w:sz w:val="44"/>
          <w:szCs w:val="44"/>
        </w:rPr>
      </w:pPr>
    </w:p>
    <w:p w14:paraId="24858085">
      <w:pPr>
        <w:spacing w:line="600" w:lineRule="auto"/>
        <w:jc w:val="center"/>
        <w:rPr>
          <w:rFonts w:hint="eastAsia" w:ascii="仿宋" w:hAnsi="仿宋" w:eastAsia="仿宋" w:cs="仿宋"/>
          <w:sz w:val="44"/>
          <w:szCs w:val="44"/>
        </w:rPr>
      </w:pPr>
      <w:r>
        <w:rPr>
          <w:rFonts w:hint="eastAsia" w:ascii="仿宋" w:hAnsi="仿宋" w:eastAsia="仿宋" w:cs="仿宋"/>
          <w:sz w:val="44"/>
          <w:szCs w:val="44"/>
        </w:rPr>
        <w:t>武汉市蔡甸区残疾人联合会</w:t>
      </w:r>
      <w:r>
        <w:rPr>
          <w:rFonts w:hint="eastAsia" w:ascii="仿宋" w:hAnsi="仿宋" w:eastAsia="仿宋" w:cs="仿宋"/>
          <w:sz w:val="44"/>
          <w:szCs w:val="44"/>
          <w:lang w:val="en-US" w:eastAsia="zh-CN"/>
        </w:rPr>
        <w:t>2022年</w:t>
      </w:r>
      <w:r>
        <w:rPr>
          <w:rFonts w:hint="eastAsia" w:ascii="仿宋" w:hAnsi="仿宋" w:eastAsia="仿宋" w:cs="仿宋"/>
          <w:sz w:val="44"/>
          <w:szCs w:val="44"/>
        </w:rPr>
        <w:t>度</w:t>
      </w:r>
    </w:p>
    <w:p w14:paraId="47F55870">
      <w:pPr>
        <w:spacing w:line="600" w:lineRule="auto"/>
        <w:jc w:val="center"/>
        <w:rPr>
          <w:rFonts w:hint="eastAsia" w:ascii="仿宋" w:hAnsi="仿宋" w:eastAsia="仿宋" w:cs="仿宋"/>
          <w:sz w:val="44"/>
          <w:szCs w:val="44"/>
        </w:rPr>
      </w:pPr>
      <w:r>
        <w:rPr>
          <w:rFonts w:hint="eastAsia" w:ascii="仿宋" w:hAnsi="仿宋" w:eastAsia="仿宋" w:cs="仿宋"/>
          <w:sz w:val="44"/>
          <w:szCs w:val="44"/>
          <w:lang w:eastAsia="zh-CN"/>
        </w:rPr>
        <w:t>残疾人托底保障专项经费项目</w:t>
      </w:r>
      <w:r>
        <w:rPr>
          <w:rFonts w:hint="eastAsia" w:ascii="仿宋" w:hAnsi="仿宋" w:eastAsia="仿宋" w:cs="仿宋"/>
          <w:sz w:val="44"/>
          <w:szCs w:val="44"/>
        </w:rPr>
        <w:t>自评结果</w:t>
      </w:r>
    </w:p>
    <w:p w14:paraId="69A5BF7D">
      <w:pPr>
        <w:rPr>
          <w:rFonts w:hint="eastAsia" w:ascii="仿宋" w:hAnsi="仿宋" w:eastAsia="仿宋" w:cs="仿宋"/>
          <w:sz w:val="44"/>
          <w:szCs w:val="44"/>
        </w:rPr>
      </w:pPr>
    </w:p>
    <w:p w14:paraId="7F575846">
      <w:pPr>
        <w:rPr>
          <w:rFonts w:hint="eastAsia" w:ascii="仿宋" w:hAnsi="仿宋" w:eastAsia="仿宋" w:cs="仿宋"/>
          <w:sz w:val="44"/>
          <w:szCs w:val="44"/>
        </w:rPr>
      </w:pPr>
    </w:p>
    <w:p w14:paraId="0351CB89">
      <w:pPr>
        <w:widowControl/>
        <w:ind w:right="-168" w:rightChars="-80" w:firstLine="790" w:firstLineChars="246"/>
        <w:jc w:val="left"/>
        <w:rPr>
          <w:rFonts w:hint="eastAsia" w:ascii="仿宋" w:hAnsi="仿宋" w:eastAsia="仿宋" w:cs="仿宋"/>
          <w:b/>
          <w:bCs/>
          <w:kern w:val="32"/>
          <w:sz w:val="32"/>
          <w:lang w:bidi="he-IL"/>
        </w:rPr>
      </w:pPr>
    </w:p>
    <w:p w14:paraId="67CEBCF2">
      <w:pPr>
        <w:widowControl/>
        <w:ind w:right="-168" w:rightChars="-80"/>
        <w:jc w:val="left"/>
        <w:rPr>
          <w:rFonts w:hint="eastAsia" w:ascii="仿宋" w:hAnsi="仿宋" w:eastAsia="仿宋" w:cs="仿宋"/>
          <w:b/>
          <w:bCs/>
          <w:kern w:val="32"/>
          <w:sz w:val="32"/>
          <w:lang w:bidi="he-IL"/>
        </w:rPr>
      </w:pPr>
    </w:p>
    <w:p w14:paraId="71A0961B">
      <w:pPr>
        <w:widowControl/>
        <w:ind w:right="-168" w:rightChars="-80"/>
        <w:jc w:val="left"/>
        <w:rPr>
          <w:rFonts w:hint="eastAsia" w:ascii="仿宋" w:hAnsi="仿宋" w:eastAsia="仿宋" w:cs="仿宋"/>
          <w:b/>
          <w:bCs/>
          <w:kern w:val="32"/>
          <w:sz w:val="32"/>
          <w:lang w:bidi="he-IL"/>
        </w:rPr>
      </w:pPr>
    </w:p>
    <w:p w14:paraId="6CD65F49">
      <w:pPr>
        <w:widowControl/>
        <w:ind w:right="-168" w:rightChars="-80"/>
        <w:jc w:val="left"/>
        <w:rPr>
          <w:rFonts w:hint="eastAsia" w:ascii="仿宋" w:hAnsi="仿宋" w:eastAsia="仿宋" w:cs="仿宋"/>
          <w:b/>
          <w:bCs/>
          <w:kern w:val="32"/>
          <w:sz w:val="32"/>
          <w:lang w:bidi="he-IL"/>
        </w:rPr>
      </w:pPr>
    </w:p>
    <w:p w14:paraId="70E60596">
      <w:pPr>
        <w:widowControl/>
        <w:ind w:right="-168" w:rightChars="-80" w:firstLine="787" w:firstLineChars="246"/>
        <w:jc w:val="left"/>
        <w:rPr>
          <w:rFonts w:hint="eastAsia" w:ascii="仿宋" w:hAnsi="仿宋" w:eastAsia="仿宋" w:cs="仿宋"/>
          <w:b w:val="0"/>
          <w:bCs w:val="0"/>
          <w:kern w:val="32"/>
          <w:sz w:val="32"/>
          <w:lang w:bidi="he-IL"/>
        </w:rPr>
      </w:pPr>
    </w:p>
    <w:p w14:paraId="2E8FE4C4">
      <w:pPr>
        <w:widowControl/>
        <w:spacing w:line="480" w:lineRule="auto"/>
        <w:ind w:right="-168" w:rightChars="-80"/>
        <w:jc w:val="both"/>
        <w:rPr>
          <w:rFonts w:hint="eastAsia" w:ascii="仿宋" w:hAnsi="仿宋" w:eastAsia="仿宋" w:cs="仿宋"/>
          <w:b w:val="0"/>
          <w:bCs w:val="0"/>
          <w:kern w:val="32"/>
          <w:sz w:val="44"/>
          <w:szCs w:val="28"/>
          <w:lang w:eastAsia="zh-CN" w:bidi="he-IL"/>
        </w:rPr>
      </w:pPr>
      <w:r>
        <w:rPr>
          <w:rFonts w:hint="eastAsia" w:ascii="仿宋" w:hAnsi="仿宋" w:eastAsia="仿宋" w:cs="仿宋"/>
          <w:b w:val="0"/>
          <w:bCs w:val="0"/>
          <w:kern w:val="32"/>
          <w:sz w:val="44"/>
          <w:szCs w:val="28"/>
          <w:lang w:bidi="he-IL"/>
        </w:rPr>
        <w:t>项目名称</w:t>
      </w:r>
      <w:r>
        <w:rPr>
          <w:rFonts w:hint="eastAsia" w:ascii="仿宋" w:hAnsi="仿宋" w:eastAsia="仿宋" w:cs="仿宋"/>
          <w:b w:val="0"/>
          <w:bCs w:val="0"/>
          <w:kern w:val="32"/>
          <w:sz w:val="44"/>
          <w:szCs w:val="28"/>
          <w:lang w:eastAsia="zh-CN" w:bidi="he-IL"/>
        </w:rPr>
        <w:t>：残疾人托底保障专项经费</w:t>
      </w:r>
    </w:p>
    <w:p w14:paraId="34551FC3">
      <w:pPr>
        <w:widowControl/>
        <w:spacing w:line="480" w:lineRule="auto"/>
        <w:ind w:right="-168" w:rightChars="-80"/>
        <w:jc w:val="both"/>
        <w:rPr>
          <w:rFonts w:hint="eastAsia" w:ascii="仿宋" w:hAnsi="仿宋" w:eastAsia="仿宋" w:cs="仿宋"/>
          <w:b w:val="0"/>
          <w:bCs w:val="0"/>
          <w:sz w:val="44"/>
          <w:szCs w:val="44"/>
        </w:rPr>
      </w:pPr>
      <w:r>
        <w:rPr>
          <w:rFonts w:hint="eastAsia" w:ascii="仿宋" w:hAnsi="仿宋" w:eastAsia="仿宋" w:cs="仿宋"/>
          <w:b w:val="0"/>
          <w:bCs w:val="0"/>
          <w:kern w:val="32"/>
          <w:sz w:val="44"/>
          <w:szCs w:val="28"/>
          <w:lang w:bidi="he-IL"/>
        </w:rPr>
        <w:t>项目单位：武汉市蔡甸区残疾人联合会</w:t>
      </w:r>
    </w:p>
    <w:p w14:paraId="79A63C19">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主管部门：武汉市蔡甸区残疾人联合会</w:t>
      </w:r>
    </w:p>
    <w:p w14:paraId="10C605BD">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评价单位：武汉市蔡甸区残疾人联合会</w:t>
      </w:r>
    </w:p>
    <w:p w14:paraId="4C7D7FA3">
      <w:pPr>
        <w:widowControl/>
        <w:jc w:val="both"/>
        <w:rPr>
          <w:rFonts w:hint="eastAsia" w:ascii="仿宋" w:hAnsi="仿宋" w:eastAsia="仿宋" w:cs="仿宋"/>
          <w:b/>
          <w:bCs/>
          <w:kern w:val="32"/>
          <w:sz w:val="44"/>
          <w:szCs w:val="28"/>
          <w:lang w:bidi="he-IL"/>
        </w:rPr>
      </w:pPr>
    </w:p>
    <w:p w14:paraId="22E60EF8">
      <w:pPr>
        <w:widowControl/>
        <w:jc w:val="center"/>
        <w:rPr>
          <w:rFonts w:hint="eastAsia" w:ascii="仿宋" w:hAnsi="仿宋" w:eastAsia="仿宋" w:cs="仿宋"/>
          <w:b w:val="0"/>
          <w:bCs w:val="0"/>
          <w:kern w:val="32"/>
          <w:sz w:val="44"/>
          <w:szCs w:val="28"/>
          <w:lang w:val="en-US" w:eastAsia="zh-CN" w:bidi="he-IL"/>
        </w:rPr>
      </w:pPr>
      <w:r>
        <w:rPr>
          <w:rFonts w:hint="eastAsia" w:ascii="仿宋" w:hAnsi="仿宋" w:eastAsia="仿宋" w:cs="仿宋"/>
          <w:b w:val="0"/>
          <w:bCs w:val="0"/>
          <w:kern w:val="32"/>
          <w:sz w:val="44"/>
          <w:szCs w:val="28"/>
          <w:lang w:val="en-US" w:eastAsia="zh-CN" w:bidi="he-IL"/>
        </w:rPr>
        <w:t>2023年3月</w:t>
      </w:r>
    </w:p>
    <w:p w14:paraId="2C4D33F7">
      <w:pPr>
        <w:rPr>
          <w:rFonts w:hint="eastAsia" w:ascii="仿宋" w:hAnsi="仿宋" w:eastAsia="仿宋" w:cs="仿宋"/>
          <w:sz w:val="44"/>
          <w:szCs w:val="44"/>
        </w:rPr>
      </w:pPr>
    </w:p>
    <w:p w14:paraId="16724ADB">
      <w:pPr>
        <w:rPr>
          <w:rFonts w:hint="eastAsia" w:ascii="仿宋" w:hAnsi="仿宋" w:eastAsia="仿宋" w:cs="仿宋"/>
          <w:sz w:val="44"/>
          <w:szCs w:val="44"/>
        </w:rPr>
      </w:pPr>
    </w:p>
    <w:p w14:paraId="3B0368B7">
      <w:pPr>
        <w:rPr>
          <w:rFonts w:hint="eastAsia" w:ascii="仿宋" w:hAnsi="仿宋" w:eastAsia="仿宋" w:cs="仿宋"/>
          <w:sz w:val="44"/>
          <w:szCs w:val="44"/>
        </w:rPr>
      </w:pPr>
    </w:p>
    <w:sdt>
      <w:sdtPr>
        <w:rPr>
          <w:rFonts w:hint="eastAsia" w:ascii="仿宋" w:hAnsi="仿宋" w:eastAsia="仿宋" w:cs="仿宋"/>
          <w:kern w:val="2"/>
          <w:sz w:val="28"/>
          <w:szCs w:val="28"/>
          <w:lang w:val="en-US" w:eastAsia="zh-CN" w:bidi="ar-SA"/>
        </w:rPr>
        <w:id w:val="147480206"/>
        <w15:color w:val="DBDBDB"/>
        <w:docPartObj>
          <w:docPartGallery w:val="Table of Contents"/>
          <w:docPartUnique/>
        </w:docPartObj>
      </w:sdtPr>
      <w:sdtEndPr>
        <w:rPr>
          <w:rFonts w:hint="eastAsia" w:ascii="仿宋" w:hAnsi="仿宋" w:eastAsia="仿宋" w:cs="仿宋"/>
          <w:kern w:val="2"/>
          <w:sz w:val="22"/>
          <w:szCs w:val="48"/>
          <w:lang w:val="en-US" w:eastAsia="zh-CN" w:bidi="ar-SA"/>
        </w:rPr>
      </w:sdtEndPr>
      <w:sdtContent>
        <w:p w14:paraId="5BAA44B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28EFBBF6">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_Toc27767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、绩效目标完成情况</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_Toc27767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0D83EB23">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_Toc7730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1.执行率情况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_Toc7730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D058565">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_Toc2268 </w:instrText>
          </w:r>
          <w:r>
            <w:rPr>
              <w:rFonts w:hint="eastAsia" w:ascii="仿宋" w:hAnsi="仿宋" w:eastAsia="仿宋" w:cs="仿宋"/>
              <w:sz w:val="22"/>
              <w:szCs w:val="24"/>
            </w:rPr>
            <w:fldChar w:fldCharType="separate"/>
          </w:r>
          <w:r>
            <w:rPr>
              <w:rFonts w:hint="eastAsia" w:ascii="仿宋" w:hAnsi="仿宋" w:eastAsia="仿宋" w:cs="仿宋"/>
              <w:bCs w:val="0"/>
              <w:sz w:val="22"/>
              <w:szCs w:val="22"/>
              <w:lang w:val="en-US" w:eastAsia="zh-CN"/>
            </w:rPr>
            <w:t>2.</w:t>
          </w:r>
          <w:r>
            <w:rPr>
              <w:rFonts w:hint="eastAsia" w:ascii="仿宋" w:hAnsi="仿宋" w:eastAsia="仿宋" w:cs="仿宋"/>
              <w:bCs w:val="0"/>
              <w:sz w:val="22"/>
              <w:szCs w:val="22"/>
            </w:rPr>
            <w:t>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_Toc2268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61F06FD">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_Toc14010 </w:instrText>
          </w:r>
          <w:r>
            <w:rPr>
              <w:rFonts w:hint="eastAsia" w:ascii="仿宋" w:hAnsi="仿宋" w:eastAsia="仿宋" w:cs="仿宋"/>
              <w:sz w:val="22"/>
              <w:szCs w:val="24"/>
            </w:rPr>
            <w:fldChar w:fldCharType="separate"/>
          </w:r>
          <w:r>
            <w:rPr>
              <w:rFonts w:hint="eastAsia" w:ascii="仿宋" w:hAnsi="仿宋" w:eastAsia="仿宋" w:cs="仿宋"/>
              <w:sz w:val="22"/>
              <w:szCs w:val="22"/>
              <w:lang w:val="en-US" w:eastAsia="zh-CN"/>
            </w:rPr>
            <w:t>3.</w:t>
          </w:r>
          <w:r>
            <w:rPr>
              <w:rFonts w:hint="eastAsia" w:ascii="仿宋" w:hAnsi="仿宋" w:eastAsia="仿宋" w:cs="仿宋"/>
              <w:sz w:val="22"/>
              <w:szCs w:val="22"/>
            </w:rPr>
            <w:t>未完成的绩效目标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_Toc14010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FFAD1EA">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_Toc23362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二、绩效目标完成情况分析</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_Toc23362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2</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588C09DF">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_Toc15413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1.预算执行情况分析（包括完成情况和偏离原因等）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_Toc15413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E1D9051">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_Toc25321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2.绩效目标完成情况分析（包括完成情况和偏离原因等）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_Toc25321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585DCF8">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_Toc12948 </w:instrText>
          </w:r>
          <w:r>
            <w:rPr>
              <w:rFonts w:hint="eastAsia" w:ascii="仿宋" w:hAnsi="仿宋" w:eastAsia="仿宋" w:cs="仿宋"/>
              <w:sz w:val="22"/>
              <w:szCs w:val="24"/>
            </w:rPr>
            <w:fldChar w:fldCharType="separate"/>
          </w:r>
          <w:r>
            <w:rPr>
              <w:rFonts w:hint="eastAsia" w:ascii="仿宋" w:hAnsi="仿宋" w:eastAsia="仿宋" w:cs="仿宋"/>
              <w:bCs/>
              <w:sz w:val="22"/>
              <w:szCs w:val="22"/>
            </w:rPr>
            <w:t>（1）产出指标完成情况分析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_Toc12948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8BB4AFC">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_Toc22253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rPr>
            <w:t>）</w:t>
          </w:r>
          <w:r>
            <w:rPr>
              <w:rFonts w:hint="eastAsia" w:ascii="仿宋" w:hAnsi="仿宋" w:eastAsia="仿宋" w:cs="仿宋"/>
              <w:bCs w:val="0"/>
              <w:sz w:val="22"/>
              <w:szCs w:val="22"/>
            </w:rPr>
            <w:t>效益指标完成情况分析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_Toc22253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7EE0892">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_Toc21447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rPr>
            <w:t>）满意度指标完成情况分析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_Toc21447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57E8D4C">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_Toc29620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三、存在的问题和原因</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_Toc29620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5AB2961">
          <w:pPr>
            <w:pStyle w:val="8"/>
            <w:tabs>
              <w:tab w:val="right" w:leader="dot" w:pos="8306"/>
            </w:tabs>
            <w:spacing w:line="360" w:lineRule="auto"/>
            <w:rPr>
              <w:rFonts w:hint="eastAsia" w:ascii="仿宋" w:hAnsi="仿宋" w:eastAsia="仿宋" w:cs="仿宋"/>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_Toc5103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四、下一步拟改进措施</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_Toc5103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5</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15235B4C">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_Toc10473 </w:instrText>
          </w:r>
          <w:r>
            <w:rPr>
              <w:rFonts w:hint="eastAsia" w:ascii="仿宋" w:hAnsi="仿宋" w:eastAsia="仿宋" w:cs="仿宋"/>
              <w:sz w:val="22"/>
              <w:szCs w:val="24"/>
            </w:rPr>
            <w:fldChar w:fldCharType="separate"/>
          </w:r>
          <w:r>
            <w:rPr>
              <w:rFonts w:hint="eastAsia" w:ascii="仿宋" w:hAnsi="仿宋" w:eastAsia="仿宋" w:cs="仿宋"/>
              <w:bCs/>
              <w:sz w:val="22"/>
              <w:szCs w:val="22"/>
            </w:rPr>
            <w:t>1.下一步拟改进措施，包括项目整改和绩效目标调整完善等相关内容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_Toc10473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9D32BED">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_Toc26603 </w:instrText>
          </w:r>
          <w:r>
            <w:rPr>
              <w:rFonts w:hint="eastAsia" w:ascii="仿宋" w:hAnsi="仿宋" w:eastAsia="仿宋" w:cs="仿宋"/>
              <w:sz w:val="22"/>
              <w:szCs w:val="24"/>
            </w:rPr>
            <w:fldChar w:fldCharType="separate"/>
          </w:r>
          <w:r>
            <w:rPr>
              <w:rFonts w:hint="eastAsia" w:ascii="仿宋" w:hAnsi="仿宋" w:eastAsia="仿宋" w:cs="仿宋"/>
              <w:sz w:val="22"/>
              <w:szCs w:val="36"/>
            </w:rPr>
            <w:t xml:space="preserve">2. </w:t>
          </w:r>
          <w:r>
            <w:rPr>
              <w:rFonts w:hint="eastAsia" w:ascii="仿宋" w:hAnsi="仿宋" w:eastAsia="仿宋" w:cs="仿宋"/>
              <w:bCs/>
              <w:sz w:val="22"/>
              <w:szCs w:val="22"/>
            </w:rPr>
            <w:t>与预算安排相结合情况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_Toc26603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EB93EBA">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_Toc21576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五、评价结果</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_Toc21576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09A457C5">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_Toc27000 </w:instrText>
          </w:r>
          <w:r>
            <w:rPr>
              <w:rFonts w:hint="eastAsia" w:ascii="仿宋" w:hAnsi="仿宋" w:eastAsia="仿宋" w:cs="仿宋"/>
              <w:sz w:val="22"/>
              <w:szCs w:val="24"/>
            </w:rPr>
            <w:fldChar w:fldCharType="separate"/>
          </w:r>
          <w:r>
            <w:rPr>
              <w:rFonts w:hint="eastAsia" w:ascii="仿宋" w:hAnsi="仿宋" w:eastAsia="仿宋" w:cs="仿宋"/>
              <w:bCs/>
              <w:sz w:val="22"/>
              <w:szCs w:val="22"/>
            </w:rPr>
            <w:t>（一） 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_Toc27000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AB69F4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_Toc22466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1</w:t>
          </w:r>
          <w:r>
            <w:rPr>
              <w:rFonts w:hint="eastAsia" w:ascii="仿宋" w:hAnsi="仿宋" w:eastAsia="仿宋" w:cs="仿宋"/>
              <w:bCs/>
              <w:sz w:val="22"/>
              <w:szCs w:val="22"/>
              <w:lang w:eastAsia="zh-CN"/>
            </w:rPr>
            <w:t>）</w:t>
          </w:r>
          <w:r>
            <w:rPr>
              <w:rFonts w:hint="eastAsia" w:ascii="仿宋" w:hAnsi="仿宋" w:eastAsia="仿宋" w:cs="仿宋"/>
              <w:bCs/>
              <w:sz w:val="22"/>
              <w:szCs w:val="22"/>
            </w:rPr>
            <w:t>项目立项背景和依据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_Toc22466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2E0D171">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_Toc3398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lang w:eastAsia="zh-CN"/>
            </w:rPr>
            <w:t>）项目绩效目标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_Toc3398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788184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_Toc3522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lang w:eastAsia="zh-CN"/>
            </w:rPr>
            <w:t>）项目经费来源和使用情况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_Toc3522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623BCEC">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_Toc680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4</w:t>
          </w:r>
          <w:r>
            <w:rPr>
              <w:rFonts w:hint="eastAsia" w:ascii="仿宋" w:hAnsi="仿宋" w:eastAsia="仿宋" w:cs="仿宋"/>
              <w:bCs/>
              <w:sz w:val="22"/>
              <w:szCs w:val="22"/>
              <w:lang w:eastAsia="zh-CN"/>
            </w:rPr>
            <w:t>）项目实施情况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_Toc680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511C84F">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_Toc29849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（二）部门自</w:t>
          </w:r>
          <w:r>
            <w:rPr>
              <w:rFonts w:hint="eastAsia" w:ascii="仿宋" w:hAnsi="仿宋" w:eastAsia="仿宋" w:cs="仿宋"/>
              <w:bCs/>
              <w:sz w:val="22"/>
              <w:szCs w:val="22"/>
              <w:highlight w:val="yellow"/>
              <w:lang w:val="en-US" w:eastAsia="zh-CN"/>
            </w:rPr>
            <w:t>评估工作</w:t>
          </w:r>
          <w:r>
            <w:rPr>
              <w:rFonts w:hint="eastAsia" w:ascii="仿宋" w:hAnsi="仿宋" w:eastAsia="仿宋" w:cs="仿宋"/>
              <w:bCs/>
              <w:sz w:val="22"/>
              <w:szCs w:val="22"/>
              <w:lang w:val="en-US" w:eastAsia="zh-CN"/>
            </w:rPr>
            <w:t>开展情况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_Toc29849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03D69C0">
          <w:pPr>
            <w:pStyle w:val="9"/>
            <w:tabs>
              <w:tab w:val="right" w:leader="dot" w:pos="8306"/>
            </w:tabs>
            <w:spacing w:line="360" w:lineRule="auto"/>
            <w:rPr>
              <w:rFonts w:hint="eastAsia" w:ascii="仿宋" w:hAnsi="仿宋" w:eastAsia="仿宋" w:cs="仿宋"/>
              <w:sz w:val="20"/>
              <w:szCs w:val="20"/>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_Toc20937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（三）绩效评价结果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_Toc20937 \h </w:instrText>
          </w:r>
          <w:r>
            <w:rPr>
              <w:rFonts w:hint="eastAsia" w:ascii="仿宋" w:hAnsi="仿宋" w:eastAsia="仿宋" w:cs="仿宋"/>
              <w:sz w:val="22"/>
              <w:szCs w:val="22"/>
            </w:rPr>
            <w:fldChar w:fldCharType="separate"/>
          </w:r>
          <w:r>
            <w:rPr>
              <w:rFonts w:hint="eastAsia" w:ascii="仿宋" w:hAnsi="仿宋" w:eastAsia="仿宋" w:cs="仿宋"/>
              <w:sz w:val="22"/>
              <w:szCs w:val="22"/>
            </w:rPr>
            <w:t>11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62D6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2"/>
              <w:szCs w:val="4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0"/>
              <w:szCs w:val="21"/>
            </w:rPr>
            <w:fldChar w:fldCharType="end"/>
          </w:r>
          <w:bookmarkStart w:id="29" w:name="_GoBack"/>
          <w:bookmarkEnd w:id="29"/>
        </w:p>
      </w:sdtContent>
    </w:sdt>
    <w:p w14:paraId="28A798D8">
      <w:pPr>
        <w:rPr>
          <w:rFonts w:hint="eastAsia" w:ascii="仿宋" w:hAnsi="仿宋" w:eastAsia="仿宋" w:cs="仿宋"/>
          <w:lang w:val="en-US" w:eastAsia="zh-CN"/>
        </w:rPr>
      </w:pPr>
    </w:p>
    <w:p w14:paraId="30991A92">
      <w:pPr>
        <w:pStyle w:val="2"/>
        <w:bidi w:val="0"/>
        <w:rPr>
          <w:rFonts w:hint="eastAsia" w:ascii="仿宋" w:hAnsi="仿宋" w:eastAsia="仿宋" w:cs="仿宋"/>
        </w:rPr>
      </w:pPr>
      <w:bookmarkStart w:id="0" w:name="_Toc27767"/>
      <w:r>
        <w:rPr>
          <w:rFonts w:hint="eastAsia" w:ascii="仿宋" w:hAnsi="仿宋" w:eastAsia="仿宋" w:cs="仿宋"/>
          <w:lang w:val="en-US" w:eastAsia="zh-CN"/>
        </w:rPr>
        <w:t>一</w:t>
      </w:r>
      <w:r>
        <w:rPr>
          <w:rFonts w:hint="eastAsia" w:ascii="仿宋" w:hAnsi="仿宋" w:eastAsia="仿宋" w:cs="仿宋"/>
        </w:rPr>
        <w:t>、绩效目标完成情况</w:t>
      </w:r>
      <w:bookmarkEnd w:id="0"/>
    </w:p>
    <w:p w14:paraId="2DBECC2B">
      <w:pPr>
        <w:pStyle w:val="3"/>
        <w:bidi w:val="0"/>
        <w:jc w:val="left"/>
        <w:rPr>
          <w:rFonts w:hint="eastAsia" w:ascii="仿宋" w:hAnsi="仿宋" w:eastAsia="仿宋" w:cs="仿宋"/>
          <w:b/>
          <w:bCs w:val="0"/>
        </w:rPr>
      </w:pPr>
      <w:bookmarkStart w:id="1" w:name="_Toc7730"/>
      <w:r>
        <w:rPr>
          <w:rFonts w:hint="eastAsia" w:ascii="仿宋" w:hAnsi="仿宋" w:eastAsia="仿宋" w:cs="仿宋"/>
          <w:b/>
          <w:bCs w:val="0"/>
        </w:rPr>
        <w:t>1.执行率情况</w:t>
      </w:r>
      <w:bookmarkEnd w:id="1"/>
    </w:p>
    <w:p w14:paraId="08ECC6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残疾人托底保障专项经费</w:t>
      </w:r>
      <w:r>
        <w:rPr>
          <w:rFonts w:hint="eastAsia" w:ascii="仿宋" w:hAnsi="仿宋" w:eastAsia="仿宋" w:cs="仿宋"/>
          <w:sz w:val="32"/>
          <w:szCs w:val="32"/>
        </w:rPr>
        <w:t>”项目为持续性、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w:t>
      </w:r>
      <w:r>
        <w:rPr>
          <w:rFonts w:hint="eastAsia" w:ascii="仿宋" w:hAnsi="仿宋" w:eastAsia="仿宋" w:cs="仿宋"/>
          <w:sz w:val="32"/>
          <w:szCs w:val="32"/>
          <w:lang w:val="en-US" w:eastAsia="zh-CN"/>
        </w:rPr>
        <w:t>年初预算资金140.00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预算调整数276.19万元，</w:t>
      </w:r>
      <w:r>
        <w:rPr>
          <w:rFonts w:hint="eastAsia" w:ascii="仿宋" w:hAnsi="仿宋" w:eastAsia="仿宋" w:cs="仿宋"/>
          <w:sz w:val="32"/>
          <w:szCs w:val="32"/>
        </w:rPr>
        <w:t>资金全部到位。“</w:t>
      </w:r>
      <w:r>
        <w:rPr>
          <w:rFonts w:hint="eastAsia" w:ascii="仿宋" w:hAnsi="仿宋" w:eastAsia="仿宋" w:cs="仿宋"/>
          <w:sz w:val="32"/>
          <w:szCs w:val="32"/>
          <w:lang w:eastAsia="zh-CN"/>
        </w:rPr>
        <w:t>残疾人托底保障专项经费</w:t>
      </w:r>
      <w:r>
        <w:rPr>
          <w:rFonts w:hint="eastAsia" w:ascii="仿宋" w:hAnsi="仿宋" w:eastAsia="仿宋" w:cs="仿宋"/>
          <w:sz w:val="32"/>
          <w:szCs w:val="32"/>
        </w:rPr>
        <w:t>”实际支出</w:t>
      </w:r>
      <w:r>
        <w:rPr>
          <w:rFonts w:hint="eastAsia" w:ascii="仿宋" w:hAnsi="仿宋" w:eastAsia="仿宋" w:cs="仿宋"/>
          <w:sz w:val="32"/>
          <w:szCs w:val="32"/>
          <w:lang w:val="en-US" w:eastAsia="zh-CN"/>
        </w:rPr>
        <w:t>257.77</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93.33%</w:t>
      </w:r>
      <w:r>
        <w:rPr>
          <w:rFonts w:hint="eastAsia" w:ascii="仿宋" w:hAnsi="仿宋" w:eastAsia="仿宋" w:cs="仿宋"/>
          <w:sz w:val="32"/>
          <w:szCs w:val="32"/>
        </w:rPr>
        <w:t>。</w:t>
      </w:r>
    </w:p>
    <w:p w14:paraId="146D3705">
      <w:pPr>
        <w:pStyle w:val="3"/>
        <w:numPr>
          <w:ilvl w:val="0"/>
          <w:numId w:val="0"/>
        </w:numPr>
        <w:bidi w:val="0"/>
        <w:jc w:val="left"/>
        <w:rPr>
          <w:rFonts w:hint="eastAsia" w:ascii="仿宋" w:hAnsi="仿宋" w:eastAsia="仿宋" w:cs="仿宋"/>
          <w:b/>
          <w:bCs w:val="0"/>
        </w:rPr>
      </w:pPr>
      <w:bookmarkStart w:id="2" w:name="_Toc2268"/>
      <w:r>
        <w:rPr>
          <w:rFonts w:hint="eastAsia" w:ascii="仿宋" w:hAnsi="仿宋" w:eastAsia="仿宋" w:cs="仿宋"/>
          <w:b/>
          <w:bCs w:val="0"/>
          <w:lang w:val="en-US" w:eastAsia="zh-CN"/>
        </w:rPr>
        <w:t>2.</w:t>
      </w:r>
      <w:r>
        <w:rPr>
          <w:rFonts w:hint="eastAsia" w:ascii="仿宋" w:hAnsi="仿宋" w:eastAsia="仿宋" w:cs="仿宋"/>
          <w:b/>
          <w:bCs w:val="0"/>
        </w:rPr>
        <w:t>完成的绩效目标</w:t>
      </w:r>
      <w:bookmarkEnd w:id="2"/>
    </w:p>
    <w:p w14:paraId="5FAC3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残疾人托底保障专项经费项目”共设置11个绩效目标，完成11个。完成绩效目标分别是：①残疾人托养服务20人②残疾人培训120人③新增就业人数④创建残疾人之家3个⑤购买残疾人意外伤害保险完成率100%⑥残疾人购买意外伤害覆盖率100%⑦完成及时率100%⑧意外保险人均成本⑨改善残疾人生活质量⑩项目实施具有可持续影响⑪被补贴对象满意度95%。</w:t>
      </w:r>
    </w:p>
    <w:p w14:paraId="61D95765">
      <w:pPr>
        <w:pStyle w:val="3"/>
        <w:numPr>
          <w:ilvl w:val="0"/>
          <w:numId w:val="0"/>
        </w:numPr>
        <w:bidi w:val="0"/>
        <w:rPr>
          <w:rFonts w:hint="eastAsia" w:ascii="仿宋" w:hAnsi="仿宋" w:eastAsia="仿宋" w:cs="仿宋"/>
        </w:rPr>
      </w:pPr>
      <w:bookmarkStart w:id="3" w:name="_Toc14010"/>
      <w:r>
        <w:rPr>
          <w:rFonts w:hint="eastAsia" w:ascii="仿宋" w:hAnsi="仿宋" w:eastAsia="仿宋" w:cs="仿宋"/>
          <w:lang w:val="en-US" w:eastAsia="zh-CN"/>
        </w:rPr>
        <w:t>3.</w:t>
      </w:r>
      <w:r>
        <w:rPr>
          <w:rFonts w:hint="eastAsia" w:ascii="仿宋" w:hAnsi="仿宋" w:eastAsia="仿宋" w:cs="仿宋"/>
        </w:rPr>
        <w:t>未完成的绩效目标</w:t>
      </w:r>
      <w:bookmarkEnd w:id="3"/>
    </w:p>
    <w:p w14:paraId="6D84EB3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未完成绩效目标：无</w:t>
      </w:r>
    </w:p>
    <w:p w14:paraId="095D922A">
      <w:pPr>
        <w:pStyle w:val="2"/>
        <w:bidi w:val="0"/>
        <w:rPr>
          <w:rFonts w:hint="eastAsia" w:ascii="仿宋" w:hAnsi="仿宋" w:eastAsia="仿宋" w:cs="仿宋"/>
          <w:lang w:val="en-US" w:eastAsia="zh-CN"/>
        </w:rPr>
      </w:pPr>
      <w:bookmarkStart w:id="4" w:name="_Toc23362"/>
      <w:r>
        <w:rPr>
          <w:rFonts w:hint="eastAsia" w:ascii="仿宋" w:hAnsi="仿宋" w:eastAsia="仿宋" w:cs="仿宋"/>
          <w:lang w:val="en-US" w:eastAsia="zh-CN"/>
        </w:rPr>
        <w:t>二、绩效目标完成情况分析</w:t>
      </w:r>
      <w:bookmarkEnd w:id="4"/>
    </w:p>
    <w:p w14:paraId="4BD37175">
      <w:pPr>
        <w:pStyle w:val="3"/>
        <w:bidi w:val="0"/>
        <w:jc w:val="left"/>
        <w:rPr>
          <w:rFonts w:hint="eastAsia" w:ascii="仿宋" w:hAnsi="仿宋" w:eastAsia="仿宋" w:cs="仿宋"/>
          <w:b/>
          <w:bCs w:val="0"/>
        </w:rPr>
      </w:pPr>
      <w:bookmarkStart w:id="5" w:name="_Toc15413"/>
      <w:r>
        <w:rPr>
          <w:rFonts w:hint="eastAsia" w:ascii="仿宋" w:hAnsi="仿宋" w:eastAsia="仿宋" w:cs="仿宋"/>
          <w:b/>
          <w:bCs w:val="0"/>
        </w:rPr>
        <w:t>1.预算执行情况分析（包括完成情况和偏离原因等）</w:t>
      </w:r>
      <w:bookmarkEnd w:id="5"/>
    </w:p>
    <w:p w14:paraId="795FE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b w:val="0"/>
          <w:bCs/>
          <w:sz w:val="32"/>
          <w:szCs w:val="32"/>
          <w:lang w:val="en-US" w:eastAsia="zh-CN"/>
        </w:rPr>
        <w:t>残疾人托底保障专项经费项目</w:t>
      </w:r>
      <w:r>
        <w:rPr>
          <w:rFonts w:hint="eastAsia" w:ascii="仿宋" w:hAnsi="仿宋" w:eastAsia="仿宋" w:cs="仿宋"/>
          <w:sz w:val="32"/>
          <w:szCs w:val="32"/>
        </w:rPr>
        <w:t>”</w:t>
      </w:r>
      <w:r>
        <w:rPr>
          <w:rFonts w:hint="eastAsia" w:ascii="仿宋" w:hAnsi="仿宋" w:eastAsia="仿宋" w:cs="仿宋"/>
          <w:sz w:val="32"/>
          <w:szCs w:val="32"/>
          <w:lang w:eastAsia="zh-CN"/>
        </w:rPr>
        <w:t>2022年</w:t>
      </w:r>
      <w:r>
        <w:rPr>
          <w:rFonts w:hint="eastAsia" w:ascii="仿宋" w:hAnsi="仿宋" w:eastAsia="仿宋" w:cs="仿宋"/>
          <w:sz w:val="32"/>
          <w:szCs w:val="32"/>
        </w:rPr>
        <w:t>年初预算</w:t>
      </w:r>
      <w:r>
        <w:rPr>
          <w:rFonts w:hint="eastAsia" w:ascii="仿宋" w:hAnsi="仿宋" w:eastAsia="仿宋" w:cs="仿宋"/>
          <w:sz w:val="32"/>
          <w:szCs w:val="32"/>
          <w:lang w:val="en-US" w:eastAsia="zh-CN"/>
        </w:rPr>
        <w:t>140.00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预算调整数276.19万元，主要是调整残疾人保险。实际</w:t>
      </w:r>
      <w:r>
        <w:rPr>
          <w:rFonts w:hint="eastAsia" w:ascii="仿宋" w:hAnsi="仿宋" w:eastAsia="仿宋" w:cs="仿宋"/>
          <w:sz w:val="32"/>
          <w:szCs w:val="32"/>
        </w:rPr>
        <w:t>支出金额</w:t>
      </w:r>
      <w:r>
        <w:rPr>
          <w:rFonts w:hint="eastAsia" w:ascii="仿宋" w:hAnsi="仿宋" w:eastAsia="仿宋" w:cs="仿宋"/>
          <w:sz w:val="32"/>
          <w:szCs w:val="32"/>
          <w:lang w:val="en-US" w:eastAsia="zh-CN"/>
        </w:rPr>
        <w:t>257.77</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93.33%</w:t>
      </w:r>
      <w:r>
        <w:rPr>
          <w:rFonts w:hint="eastAsia" w:ascii="仿宋" w:hAnsi="仿宋" w:eastAsia="仿宋" w:cs="仿宋"/>
          <w:sz w:val="32"/>
          <w:szCs w:val="32"/>
        </w:rPr>
        <w:t>。</w:t>
      </w:r>
    </w:p>
    <w:p w14:paraId="5E330C7B">
      <w:pPr>
        <w:pStyle w:val="3"/>
        <w:bidi w:val="0"/>
        <w:jc w:val="left"/>
        <w:rPr>
          <w:rFonts w:hint="eastAsia" w:ascii="仿宋" w:hAnsi="仿宋" w:eastAsia="仿宋" w:cs="仿宋"/>
          <w:b/>
          <w:bCs w:val="0"/>
        </w:rPr>
      </w:pPr>
      <w:bookmarkStart w:id="6" w:name="_Toc25321"/>
      <w:r>
        <w:rPr>
          <w:rFonts w:hint="eastAsia" w:ascii="仿宋" w:hAnsi="仿宋" w:eastAsia="仿宋" w:cs="仿宋"/>
          <w:b/>
          <w:bCs w:val="0"/>
        </w:rPr>
        <w:t>2.绩效目标完成情况分析（包括完成情况和偏离原因等）</w:t>
      </w:r>
      <w:bookmarkEnd w:id="6"/>
    </w:p>
    <w:p w14:paraId="06BBA4A2">
      <w:pPr>
        <w:pStyle w:val="4"/>
        <w:bidi w:val="0"/>
        <w:jc w:val="left"/>
        <w:rPr>
          <w:rFonts w:hint="eastAsia" w:ascii="仿宋" w:hAnsi="仿宋" w:eastAsia="仿宋" w:cs="仿宋"/>
          <w:b w:val="0"/>
          <w:bCs/>
          <w:sz w:val="32"/>
          <w:szCs w:val="32"/>
          <w:lang w:val="en-US" w:eastAsia="zh-CN"/>
        </w:rPr>
      </w:pPr>
      <w:bookmarkStart w:id="7" w:name="_Toc12948"/>
      <w:r>
        <w:rPr>
          <w:rFonts w:hint="eastAsia" w:ascii="仿宋" w:hAnsi="仿宋" w:eastAsia="仿宋" w:cs="仿宋"/>
          <w:b w:val="0"/>
          <w:bCs/>
        </w:rPr>
        <w:t>（1）产出指标完成情况分析</w:t>
      </w:r>
      <w:bookmarkEnd w:id="7"/>
    </w:p>
    <w:p w14:paraId="3CFA99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产出指标主要从残疾人托养服务残疾人培训人数</w:t>
      </w:r>
      <w:r>
        <w:rPr>
          <w:rFonts w:hint="eastAsia" w:ascii="仿宋" w:hAnsi="仿宋" w:eastAsia="仿宋" w:cs="仿宋"/>
          <w:sz w:val="32"/>
          <w:szCs w:val="32"/>
          <w:lang w:eastAsia="zh-CN"/>
        </w:rPr>
        <w:t>、</w:t>
      </w:r>
      <w:r>
        <w:rPr>
          <w:rFonts w:hint="eastAsia" w:ascii="仿宋" w:hAnsi="仿宋" w:eastAsia="仿宋" w:cs="仿宋"/>
          <w:sz w:val="32"/>
          <w:szCs w:val="32"/>
        </w:rPr>
        <w:t>创建残疾人之家</w:t>
      </w:r>
      <w:r>
        <w:rPr>
          <w:rFonts w:hint="eastAsia" w:ascii="仿宋" w:hAnsi="仿宋" w:eastAsia="仿宋" w:cs="仿宋"/>
          <w:sz w:val="32"/>
          <w:szCs w:val="32"/>
        </w:rPr>
        <w:tab/>
      </w:r>
      <w:r>
        <w:rPr>
          <w:rFonts w:hint="eastAsia" w:ascii="仿宋" w:hAnsi="仿宋" w:eastAsia="仿宋" w:cs="仿宋"/>
          <w:sz w:val="32"/>
          <w:szCs w:val="32"/>
          <w:lang w:eastAsia="zh-CN"/>
        </w:rPr>
        <w:t>、新增就业人数、</w:t>
      </w:r>
      <w:r>
        <w:rPr>
          <w:rFonts w:hint="eastAsia" w:ascii="仿宋" w:hAnsi="仿宋" w:eastAsia="仿宋" w:cs="仿宋"/>
          <w:sz w:val="32"/>
          <w:szCs w:val="32"/>
        </w:rPr>
        <w:t>购买残疾人意外伤害保险完成率</w:t>
      </w:r>
      <w:r>
        <w:rPr>
          <w:rFonts w:hint="eastAsia" w:ascii="仿宋" w:hAnsi="仿宋" w:eastAsia="仿宋" w:cs="仿宋"/>
          <w:sz w:val="32"/>
          <w:szCs w:val="32"/>
          <w:lang w:eastAsia="zh-CN"/>
        </w:rPr>
        <w:t>、</w:t>
      </w:r>
      <w:r>
        <w:rPr>
          <w:rFonts w:hint="eastAsia" w:ascii="仿宋" w:hAnsi="仿宋" w:eastAsia="仿宋" w:cs="仿宋"/>
          <w:sz w:val="32"/>
          <w:szCs w:val="32"/>
        </w:rPr>
        <w:t>残疾人购买意外伤害覆盖率</w:t>
      </w:r>
      <w:r>
        <w:rPr>
          <w:rFonts w:hint="eastAsia" w:ascii="仿宋" w:hAnsi="仿宋" w:eastAsia="仿宋" w:cs="仿宋"/>
          <w:sz w:val="32"/>
          <w:szCs w:val="32"/>
          <w:lang w:eastAsia="zh-CN"/>
        </w:rPr>
        <w:t>、</w:t>
      </w:r>
      <w:r>
        <w:rPr>
          <w:rFonts w:hint="eastAsia" w:ascii="仿宋" w:hAnsi="仿宋" w:eastAsia="仿宋" w:cs="仿宋"/>
          <w:sz w:val="32"/>
          <w:szCs w:val="32"/>
        </w:rPr>
        <w:t>完成及时率</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意外保险人均成本</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改善残疾人生活质量</w:t>
      </w:r>
      <w:r>
        <w:rPr>
          <w:rFonts w:hint="eastAsia" w:ascii="仿宋" w:hAnsi="仿宋" w:eastAsia="仿宋" w:cs="仿宋"/>
          <w:sz w:val="32"/>
          <w:szCs w:val="32"/>
          <w:lang w:eastAsia="zh-CN"/>
        </w:rPr>
        <w:t>、</w:t>
      </w:r>
      <w:r>
        <w:rPr>
          <w:rFonts w:hint="eastAsia" w:ascii="仿宋" w:hAnsi="仿宋" w:eastAsia="仿宋" w:cs="仿宋"/>
          <w:sz w:val="32"/>
          <w:szCs w:val="32"/>
        </w:rPr>
        <w:t>项目实施具有可持续影响</w:t>
      </w:r>
      <w:r>
        <w:rPr>
          <w:rFonts w:hint="eastAsia" w:ascii="仿宋" w:hAnsi="仿宋" w:eastAsia="仿宋" w:cs="仿宋"/>
          <w:sz w:val="32"/>
          <w:szCs w:val="32"/>
          <w:lang w:eastAsia="zh-CN"/>
        </w:rPr>
        <w:t>、</w:t>
      </w:r>
      <w:r>
        <w:rPr>
          <w:rFonts w:hint="eastAsia" w:ascii="仿宋" w:hAnsi="仿宋" w:eastAsia="仿宋" w:cs="仿宋"/>
          <w:sz w:val="32"/>
          <w:szCs w:val="32"/>
        </w:rPr>
        <w:t>被补贴对象满意度</w:t>
      </w:r>
      <w:r>
        <w:rPr>
          <w:rFonts w:hint="eastAsia" w:ascii="仿宋" w:hAnsi="仿宋" w:eastAsia="仿宋" w:cs="仿宋"/>
          <w:sz w:val="32"/>
          <w:szCs w:val="32"/>
        </w:rPr>
        <w:tab/>
      </w:r>
      <w:r>
        <w:rPr>
          <w:rFonts w:hint="eastAsia" w:ascii="仿宋" w:hAnsi="仿宋" w:eastAsia="仿宋" w:cs="仿宋"/>
          <w:b w:val="0"/>
          <w:bCs/>
          <w:sz w:val="32"/>
          <w:szCs w:val="32"/>
          <w:lang w:val="en-US" w:eastAsia="zh-CN"/>
        </w:rPr>
        <w:t>等</w:t>
      </w:r>
      <w:r>
        <w:rPr>
          <w:rFonts w:hint="eastAsia" w:ascii="仿宋" w:hAnsi="仿宋" w:eastAsia="仿宋" w:cs="仿宋"/>
          <w:sz w:val="32"/>
          <w:szCs w:val="32"/>
        </w:rPr>
        <w:t>这</w:t>
      </w:r>
      <w:r>
        <w:rPr>
          <w:rFonts w:hint="eastAsia" w:ascii="仿宋" w:hAnsi="仿宋" w:eastAsia="仿宋" w:cs="仿宋"/>
          <w:sz w:val="32"/>
          <w:szCs w:val="32"/>
          <w:lang w:val="en-US" w:eastAsia="zh-CN"/>
        </w:rPr>
        <w:t>十一</w:t>
      </w:r>
      <w:r>
        <w:rPr>
          <w:rFonts w:hint="eastAsia" w:ascii="仿宋" w:hAnsi="仿宋" w:eastAsia="仿宋" w:cs="仿宋"/>
          <w:sz w:val="32"/>
          <w:szCs w:val="32"/>
        </w:rPr>
        <w:t>个方面来进行评价。</w:t>
      </w:r>
    </w:p>
    <w:p w14:paraId="00ACE1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①数量指标</w:t>
      </w:r>
    </w:p>
    <w:p w14:paraId="1BE3EF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残疾人托养服务</w:t>
      </w:r>
      <w:r>
        <w:rPr>
          <w:rFonts w:hint="eastAsia" w:ascii="仿宋" w:hAnsi="仿宋" w:eastAsia="仿宋" w:cs="仿宋"/>
          <w:sz w:val="32"/>
          <w:szCs w:val="32"/>
        </w:rPr>
        <w:t>，指项目实施</w:t>
      </w:r>
      <w:r>
        <w:rPr>
          <w:rFonts w:hint="eastAsia" w:ascii="仿宋" w:hAnsi="仿宋" w:eastAsia="仿宋" w:cs="仿宋"/>
          <w:sz w:val="32"/>
          <w:szCs w:val="32"/>
          <w:lang w:val="en-US" w:eastAsia="zh-CN"/>
        </w:rPr>
        <w:t>单位通过购买第三方服务实际托养残疾人数</w:t>
      </w:r>
      <w:r>
        <w:rPr>
          <w:rFonts w:hint="eastAsia" w:ascii="仿宋" w:hAnsi="仿宋" w:eastAsia="仿宋" w:cs="仿宋"/>
          <w:sz w:val="32"/>
          <w:szCs w:val="32"/>
        </w:rPr>
        <w:t>，用以反映和考核项目产出数量目标的实现程度。年初</w:t>
      </w:r>
      <w:r>
        <w:rPr>
          <w:rFonts w:hint="eastAsia" w:ascii="仿宋" w:hAnsi="仿宋" w:eastAsia="仿宋" w:cs="仿宋"/>
          <w:sz w:val="32"/>
          <w:szCs w:val="32"/>
          <w:lang w:val="en-US" w:eastAsia="zh-CN"/>
        </w:rPr>
        <w:t>目标值20</w:t>
      </w:r>
      <w:r>
        <w:rPr>
          <w:rFonts w:hint="eastAsia" w:ascii="仿宋" w:hAnsi="仿宋" w:eastAsia="仿宋" w:cs="仿宋"/>
          <w:sz w:val="32"/>
          <w:szCs w:val="32"/>
        </w:rPr>
        <w:t>人次，实际</w:t>
      </w:r>
      <w:r>
        <w:rPr>
          <w:rFonts w:hint="eastAsia" w:ascii="仿宋" w:hAnsi="仿宋" w:eastAsia="仿宋" w:cs="仿宋"/>
          <w:sz w:val="32"/>
          <w:szCs w:val="32"/>
          <w:lang w:val="en-US" w:eastAsia="zh-CN"/>
        </w:rPr>
        <w:t>完成20</w:t>
      </w:r>
      <w:r>
        <w:rPr>
          <w:rFonts w:hint="eastAsia" w:ascii="仿宋" w:hAnsi="仿宋" w:eastAsia="仿宋" w:cs="仿宋"/>
          <w:sz w:val="32"/>
          <w:szCs w:val="32"/>
        </w:rPr>
        <w:t>人次，完成全年目标。</w:t>
      </w:r>
    </w:p>
    <w:p w14:paraId="245728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残疾人培训人数</w:t>
      </w:r>
      <w:r>
        <w:rPr>
          <w:rFonts w:hint="eastAsia" w:ascii="仿宋" w:hAnsi="仿宋" w:eastAsia="仿宋" w:cs="仿宋"/>
          <w:sz w:val="32"/>
          <w:szCs w:val="32"/>
          <w:lang w:val="en-US" w:eastAsia="zh-CN"/>
        </w:rPr>
        <w:t>，指的项目实施实际培训人数，</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目标值20人，实际完成20人。</w:t>
      </w:r>
    </w:p>
    <w:p w14:paraId="4ED4F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6CAE1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创建残疾人之家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指的项目实施单位新建残疾人数量，</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目标值3个，实际完成3个，分别是奓山新社区、松林村、龚家岭社区。</w:t>
      </w:r>
    </w:p>
    <w:p w14:paraId="5AA714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新增就业人数，指的项目实施新增残疾人就业情况，</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目标值60个人，实际新增就业60人。</w:t>
      </w:r>
    </w:p>
    <w:p w14:paraId="329CDE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残疾人购买意外伤害险完成率，</w:t>
      </w:r>
      <w:r>
        <w:rPr>
          <w:rFonts w:hint="eastAsia" w:ascii="仿宋" w:hAnsi="仿宋" w:eastAsia="仿宋" w:cs="仿宋"/>
          <w:sz w:val="32"/>
          <w:szCs w:val="32"/>
        </w:rPr>
        <w:t>指项目实施</w:t>
      </w:r>
      <w:r>
        <w:rPr>
          <w:rFonts w:hint="eastAsia" w:ascii="仿宋" w:hAnsi="仿宋" w:eastAsia="仿宋" w:cs="仿宋"/>
          <w:b w:val="0"/>
          <w:bCs/>
          <w:sz w:val="32"/>
          <w:szCs w:val="32"/>
          <w:lang w:val="en-US" w:eastAsia="zh-CN"/>
        </w:rPr>
        <w:t>残疾人</w:t>
      </w:r>
      <w:r>
        <w:rPr>
          <w:rFonts w:hint="eastAsia" w:ascii="仿宋" w:hAnsi="仿宋" w:eastAsia="仿宋" w:cs="仿宋"/>
          <w:sz w:val="32"/>
          <w:szCs w:val="32"/>
          <w:lang w:val="en-US" w:eastAsia="zh-CN"/>
        </w:rPr>
        <w:t>购买意外伤害险覆盖情况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年初目标值100%，</w:t>
      </w:r>
      <w:r>
        <w:rPr>
          <w:rFonts w:hint="eastAsia" w:ascii="仿宋" w:hAnsi="仿宋" w:eastAsia="仿宋"/>
          <w:sz w:val="32"/>
          <w:szCs w:val="32"/>
        </w:rPr>
        <w:t>为所有持证残疾人购买了群体意外伤害及补充医疗保险</w:t>
      </w:r>
      <w:r>
        <w:rPr>
          <w:rFonts w:hint="eastAsia" w:ascii="仿宋" w:hAnsi="仿宋" w:eastAsia="仿宋"/>
          <w:sz w:val="32"/>
          <w:szCs w:val="32"/>
          <w:lang w:eastAsia="zh-CN"/>
        </w:rPr>
        <w:t>，</w:t>
      </w:r>
      <w:r>
        <w:rPr>
          <w:rFonts w:hint="eastAsia" w:ascii="仿宋" w:hAnsi="仿宋" w:eastAsia="仿宋" w:cs="仿宋"/>
          <w:sz w:val="32"/>
          <w:szCs w:val="32"/>
          <w:lang w:val="en-US" w:eastAsia="zh-CN"/>
        </w:rPr>
        <w:t>完成率100%。</w:t>
      </w:r>
    </w:p>
    <w:p w14:paraId="5B4CAE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w:t>
      </w:r>
    </w:p>
    <w:p w14:paraId="178FF0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残疾人购买意外伤害险覆盖率，</w:t>
      </w:r>
      <w:r>
        <w:rPr>
          <w:rFonts w:hint="eastAsia" w:ascii="仿宋" w:hAnsi="仿宋" w:eastAsia="仿宋" w:cs="仿宋"/>
          <w:sz w:val="32"/>
          <w:szCs w:val="32"/>
        </w:rPr>
        <w:t>指项目实施</w:t>
      </w:r>
      <w:r>
        <w:rPr>
          <w:rFonts w:hint="eastAsia" w:ascii="仿宋" w:hAnsi="仿宋" w:eastAsia="仿宋" w:cs="仿宋"/>
          <w:b w:val="0"/>
          <w:bCs/>
          <w:sz w:val="32"/>
          <w:szCs w:val="32"/>
          <w:lang w:val="en-US" w:eastAsia="zh-CN"/>
        </w:rPr>
        <w:t>残疾人</w:t>
      </w:r>
      <w:r>
        <w:rPr>
          <w:rFonts w:hint="eastAsia" w:ascii="仿宋" w:hAnsi="仿宋" w:eastAsia="仿宋" w:cs="仿宋"/>
          <w:sz w:val="32"/>
          <w:szCs w:val="32"/>
          <w:lang w:val="en-US" w:eastAsia="zh-CN"/>
        </w:rPr>
        <w:t>购买意外伤害险覆盖情况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年初目标值100%，</w:t>
      </w:r>
      <w:r>
        <w:rPr>
          <w:rFonts w:hint="eastAsia" w:ascii="仿宋" w:hAnsi="仿宋" w:eastAsia="仿宋"/>
          <w:sz w:val="32"/>
          <w:szCs w:val="32"/>
        </w:rPr>
        <w:t>为所有持证残疾人购买了群体意外伤害及补充医疗保险</w:t>
      </w:r>
      <w:r>
        <w:rPr>
          <w:rFonts w:hint="eastAsia" w:ascii="仿宋" w:hAnsi="仿宋" w:eastAsia="仿宋"/>
          <w:sz w:val="32"/>
          <w:szCs w:val="32"/>
          <w:lang w:eastAsia="zh-CN"/>
        </w:rPr>
        <w:t>，</w:t>
      </w:r>
      <w:r>
        <w:rPr>
          <w:rFonts w:hint="eastAsia" w:ascii="仿宋" w:hAnsi="仿宋" w:eastAsia="仿宋" w:cs="仿宋"/>
          <w:sz w:val="32"/>
          <w:szCs w:val="32"/>
          <w:lang w:val="en-US" w:eastAsia="zh-CN"/>
        </w:rPr>
        <w:t>完成率100%。</w:t>
      </w:r>
    </w:p>
    <w:p w14:paraId="295F01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w:t>
      </w:r>
    </w:p>
    <w:p w14:paraId="27FE9A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完成及时率，是指项目及时到位资金与应到位资金的比率，用以反映和考核项目资金落实的及时性程度，年初目标值12月31，实际已于12月31日完成。</w:t>
      </w:r>
    </w:p>
    <w:p w14:paraId="44C68D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w:t>
      </w:r>
    </w:p>
    <w:p w14:paraId="305D4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意外保险人均成本，是指项目实际支出控制在标准内，用以反映和考核项目资金使用情况。年初目标值为残疾人购买意外保险及医疗保险费控制规定标准内，实际按照相关文件标准购买，项目已完成。</w:t>
      </w:r>
    </w:p>
    <w:p w14:paraId="33BB5FC5">
      <w:pPr>
        <w:pStyle w:val="4"/>
        <w:numPr>
          <w:ilvl w:val="0"/>
          <w:numId w:val="0"/>
        </w:numPr>
        <w:bidi w:val="0"/>
        <w:jc w:val="left"/>
        <w:rPr>
          <w:rFonts w:hint="eastAsia" w:ascii="仿宋" w:hAnsi="仿宋" w:eastAsia="仿宋" w:cs="仿宋"/>
          <w:b w:val="0"/>
          <w:bCs/>
        </w:rPr>
      </w:pPr>
      <w:bookmarkStart w:id="8" w:name="_Toc22253"/>
      <w:r>
        <w:rPr>
          <w:rFonts w:hint="eastAsia" w:ascii="仿宋" w:hAnsi="仿宋" w:eastAsia="仿宋" w:cs="仿宋"/>
          <w:b w:val="0"/>
          <w:bCs/>
        </w:rPr>
        <w:t>（</w:t>
      </w:r>
      <w:r>
        <w:rPr>
          <w:rFonts w:hint="eastAsia" w:ascii="仿宋" w:hAnsi="仿宋" w:eastAsia="仿宋" w:cs="仿宋"/>
          <w:b w:val="0"/>
          <w:bCs/>
          <w:lang w:val="en-US" w:eastAsia="zh-CN"/>
        </w:rPr>
        <w:t>2</w:t>
      </w:r>
      <w:r>
        <w:rPr>
          <w:rFonts w:hint="eastAsia" w:ascii="仿宋" w:hAnsi="仿宋" w:eastAsia="仿宋" w:cs="仿宋"/>
          <w:b w:val="0"/>
          <w:bCs/>
        </w:rPr>
        <w:t>）</w:t>
      </w:r>
      <w:r>
        <w:rPr>
          <w:rFonts w:hint="eastAsia" w:ascii="仿宋" w:hAnsi="仿宋" w:eastAsia="仿宋" w:cs="仿宋"/>
          <w:b/>
          <w:bCs w:val="0"/>
        </w:rPr>
        <w:t>效益指标完成情况分析</w:t>
      </w:r>
      <w:bookmarkEnd w:id="8"/>
    </w:p>
    <w:p w14:paraId="6744BE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w:t>
      </w:r>
    </w:p>
    <w:p w14:paraId="0E4B81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改善残疾人生活质量，指的是项目实施后为残疾人生活提供保障。通过发放医保补贴为其生活提供一定保障，进一步提高残疾人保障待遇，切实改善残疾人生活。</w:t>
      </w:r>
    </w:p>
    <w:p w14:paraId="45FB899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②可持续影响</w:t>
      </w:r>
    </w:p>
    <w:p w14:paraId="009784BD">
      <w:pPr>
        <w:keepNext w:val="0"/>
        <w:keepLines w:val="0"/>
        <w:widowControl/>
        <w:suppressLineNumbers w:val="0"/>
        <w:spacing w:before="0" w:beforeAutospacing="0" w:after="0" w:afterAutospacing="0" w:line="432" w:lineRule="auto"/>
        <w:ind w:left="0" w:right="0" w:firstLine="755" w:firstLineChars="236"/>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项目实施具有可持续影响，是指项目后续运行及成效发挥的可持续影响情况。省、市、区制定并出台相应专项资金管理办法；各项政策实施后对于受助残疾人各项生活工作得到了改善、提高残疾人及融入社会程度。项目具有可持续性。</w:t>
      </w:r>
    </w:p>
    <w:p w14:paraId="7D22B5C2">
      <w:pPr>
        <w:pStyle w:val="4"/>
        <w:numPr>
          <w:ilvl w:val="0"/>
          <w:numId w:val="0"/>
        </w:numPr>
        <w:bidi w:val="0"/>
        <w:ind w:leftChars="0"/>
        <w:jc w:val="left"/>
        <w:rPr>
          <w:rFonts w:hint="eastAsia" w:ascii="仿宋" w:hAnsi="仿宋" w:eastAsia="仿宋" w:cs="仿宋"/>
          <w:b w:val="0"/>
          <w:bCs/>
        </w:rPr>
      </w:pPr>
      <w:bookmarkStart w:id="9" w:name="_Toc21447"/>
      <w:r>
        <w:rPr>
          <w:rFonts w:hint="eastAsia" w:ascii="仿宋" w:hAnsi="仿宋" w:eastAsia="仿宋" w:cs="仿宋"/>
          <w:b w:val="0"/>
          <w:bCs/>
        </w:rPr>
        <w:t>（</w:t>
      </w:r>
      <w:r>
        <w:rPr>
          <w:rFonts w:hint="eastAsia" w:ascii="仿宋" w:hAnsi="仿宋" w:eastAsia="仿宋" w:cs="仿宋"/>
          <w:b w:val="0"/>
          <w:bCs/>
          <w:lang w:val="en-US" w:eastAsia="zh-CN"/>
        </w:rPr>
        <w:t>3</w:t>
      </w:r>
      <w:r>
        <w:rPr>
          <w:rFonts w:hint="eastAsia" w:ascii="仿宋" w:hAnsi="仿宋" w:eastAsia="仿宋" w:cs="仿宋"/>
          <w:b w:val="0"/>
          <w:bCs/>
        </w:rPr>
        <w:t>）满意度指标完成情况分析</w:t>
      </w:r>
      <w:bookmarkEnd w:id="9"/>
    </w:p>
    <w:p w14:paraId="7750C3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sz w:val="32"/>
          <w:szCs w:val="32"/>
        </w:rPr>
        <w:t>被补贴对象满意度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指的是该项目实施后服务对象满意度。残疾人对政策知晓率高，生活得到保障，残疾人对政策及服务满意度高。</w:t>
      </w:r>
    </w:p>
    <w:p w14:paraId="4D854975">
      <w:pPr>
        <w:pStyle w:val="2"/>
        <w:bidi w:val="0"/>
        <w:rPr>
          <w:rFonts w:hint="eastAsia" w:ascii="仿宋" w:hAnsi="仿宋" w:eastAsia="仿宋" w:cs="仿宋"/>
          <w:lang w:val="en-US" w:eastAsia="zh-CN"/>
        </w:rPr>
      </w:pPr>
      <w:bookmarkStart w:id="10" w:name="_Toc29620"/>
      <w:r>
        <w:rPr>
          <w:rFonts w:hint="eastAsia" w:ascii="仿宋" w:hAnsi="仿宋" w:eastAsia="仿宋" w:cs="仿宋"/>
          <w:lang w:val="en-US" w:eastAsia="zh-CN"/>
        </w:rPr>
        <w:t>三、存在的问题和原因</w:t>
      </w:r>
      <w:bookmarkEnd w:id="10"/>
    </w:p>
    <w:p w14:paraId="14112B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列举导致年度绩效目标未完成或发生偏离存在的问题和原因。</w:t>
      </w:r>
    </w:p>
    <w:p w14:paraId="20150A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规范预算绩效管理，提高财政资金使用效益。加强</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预算绩效管理知识宣贯与学习，提升预算绩效管理水平。</w:t>
      </w:r>
      <w:r>
        <w:rPr>
          <w:rFonts w:hint="eastAsia" w:ascii="仿宋" w:hAnsi="仿宋" w:eastAsia="仿宋" w:cs="仿宋"/>
          <w:sz w:val="32"/>
          <w:szCs w:val="32"/>
          <w:lang w:val="en-US" w:eastAsia="zh-CN"/>
        </w:rPr>
        <w:t>各业务口</w:t>
      </w:r>
      <w:r>
        <w:rPr>
          <w:rFonts w:hint="eastAsia" w:ascii="仿宋" w:hAnsi="仿宋" w:eastAsia="仿宋" w:cs="仿宋"/>
          <w:sz w:val="32"/>
          <w:szCs w:val="32"/>
          <w:lang w:eastAsia="zh-CN"/>
        </w:rPr>
        <w:t>在申报预算时应明确项目实施计划，设定合理、清晰、可衡量的绩效目标和绩效指标，加强对绩效目标的实质性审核，以切实提高预算绩效目标对预算管理和财政资金使用效果的促进作用，提高预算管理水平和政策实施效果，为经济社会发展提供有力保障。</w:t>
      </w:r>
    </w:p>
    <w:p w14:paraId="5E5ECC7E">
      <w:pPr>
        <w:pStyle w:val="2"/>
        <w:bidi w:val="0"/>
        <w:rPr>
          <w:rFonts w:hint="eastAsia" w:ascii="仿宋" w:hAnsi="仿宋" w:eastAsia="仿宋" w:cs="仿宋"/>
          <w:lang w:val="en-US" w:eastAsia="zh-CN"/>
        </w:rPr>
      </w:pPr>
      <w:bookmarkStart w:id="11" w:name="_Toc5103"/>
      <w:r>
        <w:rPr>
          <w:rFonts w:hint="eastAsia" w:ascii="仿宋" w:hAnsi="仿宋" w:eastAsia="仿宋" w:cs="仿宋"/>
          <w:lang w:val="en-US" w:eastAsia="zh-CN"/>
        </w:rPr>
        <w:t>四、下一步拟改进措施</w:t>
      </w:r>
      <w:bookmarkEnd w:id="11"/>
    </w:p>
    <w:p w14:paraId="3E78CD99">
      <w:pPr>
        <w:pStyle w:val="3"/>
        <w:keepNext/>
        <w:keepLines/>
        <w:pageBreakBefore w:val="0"/>
        <w:widowControl w:val="0"/>
        <w:kinsoku/>
        <w:wordWrap/>
        <w:overflowPunct/>
        <w:topLinePunct w:val="0"/>
        <w:autoSpaceDE/>
        <w:autoSpaceDN/>
        <w:bidi w:val="0"/>
        <w:adjustRightInd/>
        <w:snapToGrid/>
        <w:spacing w:line="413" w:lineRule="auto"/>
        <w:ind w:firstLine="640" w:firstLineChars="200"/>
        <w:jc w:val="left"/>
        <w:textAlignment w:val="auto"/>
        <w:rPr>
          <w:rFonts w:hint="eastAsia" w:ascii="仿宋" w:hAnsi="仿宋" w:eastAsia="仿宋" w:cs="仿宋"/>
          <w:b w:val="0"/>
          <w:bCs/>
        </w:rPr>
      </w:pPr>
      <w:bookmarkStart w:id="12" w:name="_Toc10473"/>
      <w:r>
        <w:rPr>
          <w:rFonts w:hint="eastAsia" w:ascii="仿宋" w:hAnsi="仿宋" w:eastAsia="仿宋" w:cs="仿宋"/>
          <w:b w:val="0"/>
          <w:bCs/>
        </w:rPr>
        <w:t>1.下一步拟改进措施，包括项目整改和绩效目标调整完善等相关内容</w:t>
      </w:r>
      <w:bookmarkEnd w:id="12"/>
    </w:p>
    <w:p w14:paraId="06CD20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提高预算编制水平，</w:t>
      </w:r>
      <w:r>
        <w:rPr>
          <w:rFonts w:hint="eastAsia" w:ascii="仿宋" w:hAnsi="仿宋" w:eastAsia="仿宋" w:cs="仿宋"/>
          <w:sz w:val="32"/>
          <w:szCs w:val="32"/>
          <w:lang w:eastAsia="zh-CN"/>
        </w:rPr>
        <w:t>加大</w:t>
      </w:r>
      <w:r>
        <w:rPr>
          <w:rFonts w:hint="eastAsia" w:ascii="仿宋" w:hAnsi="仿宋" w:eastAsia="仿宋" w:cs="仿宋"/>
          <w:sz w:val="32"/>
          <w:szCs w:val="32"/>
        </w:rPr>
        <w:t>预算编制审核力度，确保绩效目标申报表的完整性、准确性</w:t>
      </w:r>
      <w:r>
        <w:rPr>
          <w:rFonts w:hint="eastAsia" w:ascii="仿宋" w:hAnsi="仿宋" w:eastAsia="仿宋" w:cs="仿宋"/>
          <w:sz w:val="32"/>
          <w:szCs w:val="32"/>
          <w:lang w:eastAsia="zh-CN"/>
        </w:rPr>
        <w:t>。</w:t>
      </w:r>
      <w:r>
        <w:rPr>
          <w:rFonts w:hint="eastAsia" w:ascii="仿宋" w:hAnsi="仿宋" w:eastAsia="仿宋" w:cs="仿宋"/>
          <w:sz w:val="32"/>
          <w:szCs w:val="32"/>
        </w:rPr>
        <w:t>总结往年项目资金使用情况和项目实施效果，合理分配项目资金，预算执行过程中如有预算额度剩余，应执行预算调整程序调减项目预算</w:t>
      </w:r>
      <w:r>
        <w:rPr>
          <w:rFonts w:hint="eastAsia" w:ascii="仿宋" w:hAnsi="仿宋" w:eastAsia="仿宋" w:cs="仿宋"/>
          <w:sz w:val="32"/>
          <w:szCs w:val="32"/>
          <w:lang w:eastAsia="zh-CN"/>
        </w:rPr>
        <w:t>。严格按照项目实施内容和资金性质进行准确列支，杜绝随意改变预算资金的使用范围等行为发生，确保财政资金使用合规，提高预算执行真实性，落实财政过紧日子要求。</w:t>
      </w:r>
    </w:p>
    <w:p w14:paraId="616F3D05">
      <w:pPr>
        <w:pStyle w:val="3"/>
        <w:numPr>
          <w:ilvl w:val="0"/>
          <w:numId w:val="1"/>
        </w:numPr>
        <w:bidi w:val="0"/>
        <w:jc w:val="left"/>
        <w:rPr>
          <w:rFonts w:hint="eastAsia" w:ascii="仿宋" w:hAnsi="仿宋" w:eastAsia="仿宋" w:cs="仿宋"/>
          <w:sz w:val="32"/>
          <w:szCs w:val="32"/>
        </w:rPr>
      </w:pPr>
      <w:bookmarkStart w:id="13" w:name="_Toc26603"/>
      <w:r>
        <w:rPr>
          <w:rFonts w:hint="eastAsia" w:ascii="仿宋" w:hAnsi="仿宋" w:eastAsia="仿宋" w:cs="仿宋"/>
          <w:b w:val="0"/>
          <w:bCs/>
        </w:rPr>
        <w:t>与预算安排相结合情况</w:t>
      </w:r>
      <w:bookmarkEnd w:id="13"/>
    </w:p>
    <w:p w14:paraId="771F0C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sz w:val="32"/>
          <w:szCs w:val="32"/>
          <w:lang w:val="en-US" w:eastAsia="zh-CN"/>
        </w:rPr>
        <w:t>各</w:t>
      </w:r>
      <w:r>
        <w:rPr>
          <w:rFonts w:hint="eastAsia" w:ascii="仿宋" w:hAnsi="仿宋" w:eastAsia="仿宋" w:cs="仿宋"/>
          <w:sz w:val="32"/>
          <w:szCs w:val="32"/>
        </w:rPr>
        <w:t>部门应提前制定下一年度项目实施计划和资金使用计划，细化资金测算过程，并按照“一下”控制数调整与更新资金测算依据，准确计算资金额度，提高预算申报准确性和合理性。</w:t>
      </w:r>
    </w:p>
    <w:p w14:paraId="363F3287">
      <w:pPr>
        <w:pStyle w:val="2"/>
        <w:bidi w:val="0"/>
        <w:rPr>
          <w:rFonts w:hint="eastAsia" w:ascii="仿宋" w:hAnsi="仿宋" w:eastAsia="仿宋" w:cs="仿宋"/>
          <w:lang w:val="en-US" w:eastAsia="zh-CN"/>
        </w:rPr>
      </w:pPr>
      <w:bookmarkStart w:id="14" w:name="_Toc21576"/>
      <w:r>
        <w:rPr>
          <w:rFonts w:hint="eastAsia" w:ascii="仿宋" w:hAnsi="仿宋" w:eastAsia="仿宋" w:cs="仿宋"/>
          <w:lang w:val="en-US" w:eastAsia="zh-CN"/>
        </w:rPr>
        <w:t>五、评价结果</w:t>
      </w:r>
      <w:bookmarkEnd w:id="14"/>
    </w:p>
    <w:p w14:paraId="4576F1D6">
      <w:pPr>
        <w:pStyle w:val="3"/>
        <w:keepNext/>
        <w:keepLines/>
        <w:pageBreakBefore w:val="0"/>
        <w:widowControl w:val="0"/>
        <w:numPr>
          <w:ilvl w:val="0"/>
          <w:numId w:val="2"/>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rPr>
      </w:pPr>
      <w:bookmarkStart w:id="15" w:name="_Toc75633771"/>
      <w:bookmarkStart w:id="16" w:name="_Toc27000"/>
      <w:r>
        <w:rPr>
          <w:rFonts w:hint="eastAsia" w:ascii="仿宋" w:hAnsi="仿宋" w:eastAsia="仿宋" w:cs="仿宋"/>
          <w:b w:val="0"/>
          <w:bCs/>
        </w:rPr>
        <w:t>基本情况</w:t>
      </w:r>
      <w:bookmarkEnd w:id="15"/>
      <w:bookmarkEnd w:id="16"/>
      <w:bookmarkStart w:id="17" w:name="_Toc75633772"/>
      <w:bookmarkStart w:id="18" w:name="_Toc14165724"/>
    </w:p>
    <w:p w14:paraId="5B1CA464">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rPr>
      </w:pPr>
      <w:bookmarkStart w:id="19" w:name="_Toc22466"/>
      <w:r>
        <w:rPr>
          <w:rFonts w:hint="eastAsia" w:ascii="仿宋" w:hAnsi="仿宋" w:eastAsia="仿宋" w:cs="仿宋"/>
          <w:b w:val="0"/>
          <w:bCs/>
          <w:lang w:eastAsia="zh-CN"/>
        </w:rPr>
        <w:t>（</w:t>
      </w:r>
      <w:r>
        <w:rPr>
          <w:rFonts w:hint="eastAsia" w:ascii="仿宋" w:hAnsi="仿宋" w:eastAsia="仿宋" w:cs="仿宋"/>
          <w:b w:val="0"/>
          <w:bCs/>
          <w:lang w:val="en-US" w:eastAsia="zh-CN"/>
        </w:rPr>
        <w:t>1</w:t>
      </w:r>
      <w:r>
        <w:rPr>
          <w:rFonts w:hint="eastAsia" w:ascii="仿宋" w:hAnsi="仿宋" w:eastAsia="仿宋" w:cs="仿宋"/>
          <w:b w:val="0"/>
          <w:bCs/>
          <w:lang w:eastAsia="zh-CN"/>
        </w:rPr>
        <w:t>）</w:t>
      </w:r>
      <w:r>
        <w:rPr>
          <w:rFonts w:hint="eastAsia" w:ascii="仿宋" w:hAnsi="仿宋" w:eastAsia="仿宋" w:cs="仿宋"/>
          <w:b w:val="0"/>
          <w:bCs/>
        </w:rPr>
        <w:t>项目立项背景和依据</w:t>
      </w:r>
      <w:bookmarkEnd w:id="17"/>
      <w:bookmarkEnd w:id="18"/>
      <w:bookmarkEnd w:id="19"/>
    </w:p>
    <w:p w14:paraId="61C3B8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bookmarkStart w:id="20" w:name="_Toc75633773"/>
      <w:bookmarkStart w:id="21" w:name="_Toc3398"/>
      <w:bookmarkStart w:id="22" w:name="_Toc14165725"/>
      <w:r>
        <w:rPr>
          <w:rFonts w:hint="eastAsia" w:ascii="仿宋" w:hAnsi="仿宋" w:eastAsia="仿宋" w:cs="仿宋"/>
          <w:sz w:val="32"/>
          <w:szCs w:val="32"/>
          <w:lang w:val="en-US" w:eastAsia="zh-CN"/>
        </w:rPr>
        <w:t>1.《武汉市就读中专以上学校残疾学生和特困残疾人家庭子女学费补贴实施方案》（武残联【2012】21号）；</w:t>
      </w:r>
    </w:p>
    <w:p w14:paraId="276696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2.《关于为严重丧失生活自理能力的残疾人购买居家服务工作的意见》（武残联[2011]66号）；                                                 </w:t>
      </w:r>
    </w:p>
    <w:p w14:paraId="66147B9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3.《关于开展智力残疾人托养服务工作实施方案》；                                                                                                             </w:t>
      </w:r>
    </w:p>
    <w:p w14:paraId="401CE9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4.《关于为一户双（多）残低保家庭提供居家护理补贴工作的意见》（武残联【2015】22号）；                                         </w:t>
      </w:r>
    </w:p>
    <w:p w14:paraId="1C68BF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5.《市人民政府关于印发武汉市城乡居民基本医疗保险实施办法的通知》（武政规[2017]24号）。</w:t>
      </w:r>
    </w:p>
    <w:p w14:paraId="7F62D847">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r>
        <w:rPr>
          <w:rFonts w:hint="eastAsia" w:ascii="仿宋" w:hAnsi="仿宋" w:eastAsia="仿宋" w:cs="仿宋"/>
          <w:b w:val="0"/>
          <w:bCs/>
          <w:lang w:eastAsia="zh-CN"/>
        </w:rPr>
        <w:t>（</w:t>
      </w:r>
      <w:r>
        <w:rPr>
          <w:rFonts w:hint="eastAsia" w:ascii="仿宋" w:hAnsi="仿宋" w:eastAsia="仿宋" w:cs="仿宋"/>
          <w:b w:val="0"/>
          <w:bCs/>
          <w:lang w:val="en-US" w:eastAsia="zh-CN"/>
        </w:rPr>
        <w:t>2</w:t>
      </w:r>
      <w:r>
        <w:rPr>
          <w:rFonts w:hint="eastAsia" w:ascii="仿宋" w:hAnsi="仿宋" w:eastAsia="仿宋" w:cs="仿宋"/>
          <w:b w:val="0"/>
          <w:bCs/>
          <w:lang w:eastAsia="zh-CN"/>
        </w:rPr>
        <w:t>）项目绩效目标</w:t>
      </w:r>
      <w:bookmarkEnd w:id="20"/>
      <w:bookmarkEnd w:id="21"/>
      <w:bookmarkEnd w:id="22"/>
    </w:p>
    <w:p w14:paraId="1226441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lang w:eastAsia="zh-CN"/>
        </w:rPr>
      </w:pPr>
      <w:r>
        <w:rPr>
          <w:rFonts w:hint="eastAsia" w:ascii="仿宋" w:hAnsi="仿宋" w:eastAsia="仿宋"/>
          <w:sz w:val="32"/>
          <w:szCs w:val="32"/>
        </w:rPr>
        <w:t>为所有持证残疾人购买了群体意外伤害及补充医疗保险，将残疾人意外身故、疾病身故、意外伤害住院、疾病住院等纳入保险范围</w:t>
      </w:r>
      <w:r>
        <w:rPr>
          <w:rFonts w:hint="eastAsia" w:ascii="仿宋" w:hAnsi="仿宋" w:eastAsia="仿宋"/>
          <w:sz w:val="32"/>
          <w:szCs w:val="32"/>
          <w:lang w:eastAsia="zh-CN"/>
        </w:rPr>
        <w:t>。</w:t>
      </w:r>
      <w:r>
        <w:rPr>
          <w:rFonts w:hint="eastAsia" w:ascii="仿宋" w:hAnsi="仿宋" w:eastAsia="仿宋"/>
          <w:sz w:val="32"/>
          <w:szCs w:val="32"/>
        </w:rPr>
        <w:t>指导托养机构做好疫情防控工作，加强风险隐患排查和整治，在疫情期间采取封闭运营、线上服务代替线下服务等形式，确保了 “阳光家园”安全运营</w:t>
      </w:r>
      <w:r>
        <w:rPr>
          <w:rFonts w:hint="eastAsia" w:ascii="仿宋" w:hAnsi="仿宋" w:eastAsia="仿宋"/>
          <w:sz w:val="32"/>
          <w:szCs w:val="32"/>
          <w:lang w:eastAsia="zh-CN"/>
        </w:rPr>
        <w:t>。</w:t>
      </w:r>
    </w:p>
    <w:p w14:paraId="1FAA2478">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3" w:name="_Toc3522"/>
      <w:bookmarkStart w:id="24" w:name="_Toc75633774"/>
      <w:bookmarkStart w:id="25" w:name="_Toc14165726"/>
      <w:r>
        <w:rPr>
          <w:rFonts w:hint="eastAsia" w:ascii="仿宋" w:hAnsi="仿宋" w:eastAsia="仿宋" w:cs="仿宋"/>
          <w:b w:val="0"/>
          <w:bCs/>
          <w:lang w:eastAsia="zh-CN"/>
        </w:rPr>
        <w:t>（</w:t>
      </w:r>
      <w:r>
        <w:rPr>
          <w:rFonts w:hint="eastAsia" w:ascii="仿宋" w:hAnsi="仿宋" w:eastAsia="仿宋" w:cs="仿宋"/>
          <w:b w:val="0"/>
          <w:bCs/>
          <w:lang w:val="en-US" w:eastAsia="zh-CN"/>
        </w:rPr>
        <w:t>3</w:t>
      </w:r>
      <w:r>
        <w:rPr>
          <w:rFonts w:hint="eastAsia" w:ascii="仿宋" w:hAnsi="仿宋" w:eastAsia="仿宋" w:cs="仿宋"/>
          <w:b w:val="0"/>
          <w:bCs/>
          <w:lang w:eastAsia="zh-CN"/>
        </w:rPr>
        <w:t>）项目经费来源和使用情况</w:t>
      </w:r>
      <w:bookmarkEnd w:id="23"/>
      <w:bookmarkEnd w:id="24"/>
      <w:bookmarkEnd w:id="25"/>
    </w:p>
    <w:p w14:paraId="7D0B1B65">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项目资金来源</w:t>
      </w:r>
    </w:p>
    <w:p w14:paraId="1864E686">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残疾人托底保障专项经费</w:t>
      </w:r>
      <w:r>
        <w:rPr>
          <w:rFonts w:hint="eastAsia" w:ascii="仿宋" w:hAnsi="仿宋" w:eastAsia="仿宋" w:cs="仿宋"/>
          <w:sz w:val="32"/>
          <w:szCs w:val="32"/>
        </w:rPr>
        <w:t>”为连续性、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项目。项目年初预算数为</w:t>
      </w:r>
      <w:r>
        <w:rPr>
          <w:rFonts w:hint="eastAsia" w:ascii="仿宋" w:hAnsi="仿宋" w:eastAsia="仿宋" w:cs="仿宋"/>
          <w:sz w:val="32"/>
          <w:szCs w:val="32"/>
          <w:lang w:val="en-US" w:eastAsia="zh-CN"/>
        </w:rPr>
        <w:t>140.00</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预算调整数276.19万元。 </w:t>
      </w:r>
      <w:r>
        <w:rPr>
          <w:rFonts w:hint="eastAsia" w:ascii="仿宋" w:hAnsi="仿宋" w:eastAsia="仿宋" w:cs="仿宋"/>
          <w:sz w:val="32"/>
          <w:szCs w:val="32"/>
        </w:rPr>
        <w:t>为</w:t>
      </w:r>
      <w:r>
        <w:rPr>
          <w:rFonts w:hint="eastAsia" w:ascii="仿宋" w:hAnsi="仿宋" w:eastAsia="仿宋" w:cs="仿宋"/>
          <w:sz w:val="32"/>
          <w:szCs w:val="32"/>
          <w:lang w:eastAsia="zh-CN"/>
        </w:rPr>
        <w:t>2022年</w:t>
      </w:r>
      <w:r>
        <w:rPr>
          <w:rFonts w:hint="eastAsia" w:ascii="仿宋" w:hAnsi="仿宋" w:eastAsia="仿宋" w:cs="仿宋"/>
          <w:sz w:val="32"/>
          <w:szCs w:val="32"/>
        </w:rPr>
        <w:t>部门预算项目，均系财政拨款。</w:t>
      </w:r>
    </w:p>
    <w:p w14:paraId="19FC2A69">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项目资金使用概况</w:t>
      </w:r>
    </w:p>
    <w:p w14:paraId="1FD713A0">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eastAsia="zh-CN"/>
        </w:rPr>
        <w:t>2022年</w:t>
      </w:r>
      <w:r>
        <w:rPr>
          <w:rFonts w:hint="eastAsia" w:ascii="仿宋" w:hAnsi="仿宋" w:eastAsia="仿宋" w:cs="仿宋"/>
          <w:sz w:val="32"/>
          <w:szCs w:val="32"/>
        </w:rPr>
        <w:t>“</w:t>
      </w:r>
      <w:r>
        <w:rPr>
          <w:rFonts w:hint="eastAsia" w:ascii="仿宋" w:hAnsi="仿宋" w:eastAsia="仿宋" w:cs="仿宋"/>
          <w:sz w:val="32"/>
          <w:szCs w:val="32"/>
          <w:lang w:eastAsia="zh-CN"/>
        </w:rPr>
        <w:t>残疾人托底保障专项经费</w:t>
      </w:r>
      <w:r>
        <w:rPr>
          <w:rFonts w:hint="eastAsia" w:ascii="仿宋" w:hAnsi="仿宋" w:eastAsia="仿宋" w:cs="仿宋"/>
          <w:sz w:val="32"/>
          <w:szCs w:val="32"/>
        </w:rPr>
        <w:t>”项目计划支出</w:t>
      </w:r>
      <w:r>
        <w:rPr>
          <w:rFonts w:hint="eastAsia" w:ascii="仿宋" w:hAnsi="仿宋" w:eastAsia="仿宋" w:cs="仿宋"/>
          <w:sz w:val="32"/>
          <w:szCs w:val="32"/>
          <w:lang w:val="en-US" w:eastAsia="zh-CN"/>
        </w:rPr>
        <w:t>276.19</w:t>
      </w:r>
      <w:r>
        <w:rPr>
          <w:rFonts w:hint="eastAsia" w:ascii="仿宋" w:hAnsi="仿宋" w:eastAsia="仿宋" w:cs="仿宋"/>
          <w:sz w:val="32"/>
          <w:szCs w:val="32"/>
        </w:rPr>
        <w:t>万元，实际支出为257.77万元</w:t>
      </w:r>
      <w:r>
        <w:rPr>
          <w:rFonts w:hint="eastAsia" w:ascii="仿宋" w:hAnsi="仿宋" w:eastAsia="仿宋" w:cs="仿宋"/>
          <w:sz w:val="32"/>
          <w:szCs w:val="32"/>
          <w:lang w:eastAsia="zh-CN"/>
        </w:rPr>
        <w:t>，</w:t>
      </w:r>
      <w:r>
        <w:rPr>
          <w:rFonts w:hint="eastAsia" w:ascii="仿宋" w:hAnsi="仿宋" w:eastAsia="仿宋" w:cs="仿宋"/>
          <w:sz w:val="32"/>
          <w:szCs w:val="32"/>
        </w:rPr>
        <w:t>资金使用率为</w:t>
      </w:r>
      <w:r>
        <w:rPr>
          <w:rFonts w:hint="eastAsia" w:ascii="仿宋" w:hAnsi="仿宋" w:eastAsia="仿宋" w:cs="仿宋"/>
          <w:sz w:val="32"/>
          <w:szCs w:val="32"/>
          <w:lang w:val="en-US" w:eastAsia="zh-CN"/>
        </w:rPr>
        <w:t>93.33%</w:t>
      </w:r>
      <w:r>
        <w:rPr>
          <w:rFonts w:hint="eastAsia" w:ascii="仿宋" w:hAnsi="仿宋" w:eastAsia="仿宋" w:cs="仿宋"/>
          <w:sz w:val="32"/>
          <w:szCs w:val="32"/>
        </w:rPr>
        <w:t>。</w:t>
      </w:r>
    </w:p>
    <w:tbl>
      <w:tblPr>
        <w:tblStyle w:val="10"/>
        <w:tblW w:w="8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2861"/>
        <w:gridCol w:w="2252"/>
      </w:tblGrid>
      <w:tr w14:paraId="6DB8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9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预算项目</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C9C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经济科目</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4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执行数</w:t>
            </w:r>
          </w:p>
        </w:tc>
      </w:tr>
      <w:tr w14:paraId="1309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3296" w:type="dxa"/>
            <w:vMerge w:val="restart"/>
            <w:tcBorders>
              <w:top w:val="single" w:color="000000" w:sz="4" w:space="0"/>
              <w:left w:val="single" w:color="000000" w:sz="4" w:space="0"/>
              <w:right w:val="single" w:color="000000" w:sz="4" w:space="0"/>
            </w:tcBorders>
            <w:shd w:val="clear" w:color="auto" w:fill="auto"/>
            <w:noWrap/>
            <w:vAlign w:val="center"/>
          </w:tcPr>
          <w:p w14:paraId="505B7F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残疾人托底保障专项经费</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71CC">
            <w:pPr>
              <w:keepNext w:val="0"/>
              <w:keepLines w:val="0"/>
              <w:suppressLineNumbers w:val="0"/>
              <w:snapToGrid w:val="0"/>
              <w:spacing w:before="0" w:beforeAutospacing="0" w:after="0" w:afterAutospacing="0" w:line="360" w:lineRule="auto"/>
              <w:ind w:left="0" w:right="0"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其他对个人和家庭的补助</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B8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242.77</w:t>
            </w:r>
          </w:p>
        </w:tc>
      </w:tr>
      <w:tr w14:paraId="1FC7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3296" w:type="dxa"/>
            <w:vMerge w:val="continue"/>
            <w:tcBorders>
              <w:left w:val="single" w:color="000000" w:sz="4" w:space="0"/>
              <w:bottom w:val="single" w:color="000000" w:sz="4" w:space="0"/>
              <w:right w:val="single" w:color="000000" w:sz="4" w:space="0"/>
            </w:tcBorders>
            <w:shd w:val="clear" w:color="auto" w:fill="auto"/>
            <w:noWrap/>
            <w:vAlign w:val="center"/>
          </w:tcPr>
          <w:p w14:paraId="0C2E2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u w:val="none"/>
              </w:rPr>
            </w:pP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D618">
            <w:pPr>
              <w:keepNext w:val="0"/>
              <w:keepLines w:val="0"/>
              <w:suppressLineNumbers w:val="0"/>
              <w:snapToGrid w:val="0"/>
              <w:spacing w:before="0" w:beforeAutospacing="0" w:after="0" w:afterAutospacing="0" w:line="360" w:lineRule="auto"/>
              <w:ind w:left="0" w:right="0" w:firstLine="48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其他商品和服务支出</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DC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15.00</w:t>
            </w:r>
          </w:p>
        </w:tc>
      </w:tr>
      <w:tr w14:paraId="5345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B8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AF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051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257.77</w:t>
            </w:r>
          </w:p>
        </w:tc>
      </w:tr>
    </w:tbl>
    <w:p w14:paraId="4614A14B">
      <w:pPr>
        <w:snapToGrid w:val="0"/>
        <w:spacing w:line="360" w:lineRule="auto"/>
        <w:rPr>
          <w:rFonts w:hint="eastAsia" w:ascii="仿宋" w:hAnsi="仿宋" w:eastAsia="仿宋" w:cs="仿宋"/>
          <w:sz w:val="32"/>
          <w:szCs w:val="32"/>
        </w:rPr>
      </w:pPr>
    </w:p>
    <w:p w14:paraId="75D719F3">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6" w:name="_Toc680"/>
      <w:r>
        <w:rPr>
          <w:rFonts w:hint="eastAsia" w:ascii="仿宋" w:hAnsi="仿宋" w:eastAsia="仿宋" w:cs="仿宋"/>
          <w:b w:val="0"/>
          <w:bCs/>
          <w:lang w:eastAsia="zh-CN"/>
        </w:rPr>
        <w:t>（</w:t>
      </w:r>
      <w:r>
        <w:rPr>
          <w:rFonts w:hint="eastAsia" w:ascii="仿宋" w:hAnsi="仿宋" w:eastAsia="仿宋" w:cs="仿宋"/>
          <w:b w:val="0"/>
          <w:bCs/>
          <w:lang w:val="en-US" w:eastAsia="zh-CN"/>
        </w:rPr>
        <w:t>4</w:t>
      </w:r>
      <w:r>
        <w:rPr>
          <w:rFonts w:hint="eastAsia" w:ascii="仿宋" w:hAnsi="仿宋" w:eastAsia="仿宋" w:cs="仿宋"/>
          <w:b w:val="0"/>
          <w:bCs/>
          <w:lang w:eastAsia="zh-CN"/>
        </w:rPr>
        <w:t>）项目实施情况</w:t>
      </w:r>
      <w:bookmarkEnd w:id="26"/>
    </w:p>
    <w:p w14:paraId="32C597E2">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1、项目实施单位：武汉市蔡甸区残疾人联合会</w:t>
      </w:r>
    </w:p>
    <w:p w14:paraId="5C64BC02">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残疾人托底保障专项经费</w:t>
      </w:r>
      <w:r>
        <w:rPr>
          <w:rFonts w:hint="eastAsia" w:ascii="仿宋" w:hAnsi="仿宋" w:eastAsia="仿宋" w:cs="仿宋"/>
          <w:sz w:val="32"/>
          <w:szCs w:val="32"/>
          <w:lang w:val="en-US" w:eastAsia="zh-CN"/>
        </w:rPr>
        <w:t>”项目主要内容：</w:t>
      </w:r>
      <w:r>
        <w:rPr>
          <w:rFonts w:hint="eastAsia" w:ascii="仿宋" w:hAnsi="仿宋" w:eastAsia="仿宋"/>
          <w:sz w:val="32"/>
          <w:szCs w:val="32"/>
        </w:rPr>
        <w:t>所有持证残疾人购买了群体意外伤害及补充医疗保险</w:t>
      </w:r>
      <w:r>
        <w:rPr>
          <w:rFonts w:hint="eastAsia" w:ascii="仿宋" w:hAnsi="仿宋" w:eastAsia="仿宋"/>
          <w:sz w:val="32"/>
          <w:szCs w:val="32"/>
          <w:lang w:eastAsia="zh-CN"/>
        </w:rPr>
        <w:t>、</w:t>
      </w:r>
      <w:r>
        <w:rPr>
          <w:rFonts w:hint="eastAsia" w:ascii="仿宋" w:hAnsi="仿宋" w:eastAsia="仿宋"/>
          <w:sz w:val="32"/>
          <w:szCs w:val="32"/>
          <w:lang w:val="en-US" w:eastAsia="zh-CN"/>
        </w:rPr>
        <w:t>残疾人托养服务、残疾人技能培训等经费支出</w:t>
      </w:r>
      <w:r>
        <w:rPr>
          <w:rFonts w:hint="eastAsia" w:ascii="仿宋" w:hAnsi="仿宋" w:eastAsia="仿宋" w:cs="仿宋"/>
          <w:sz w:val="32"/>
          <w:szCs w:val="32"/>
          <w:lang w:val="en-US" w:eastAsia="zh-CN"/>
        </w:rPr>
        <w:t>。</w:t>
      </w:r>
    </w:p>
    <w:p w14:paraId="334D7A6D">
      <w:pPr>
        <w:pStyle w:val="3"/>
        <w:keepNext/>
        <w:keepLines/>
        <w:pageBreakBefore w:val="0"/>
        <w:widowControl w:val="0"/>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lang w:val="en-US" w:eastAsia="zh-CN"/>
        </w:rPr>
      </w:pPr>
      <w:bookmarkStart w:id="27" w:name="_Toc29849"/>
      <w:r>
        <w:rPr>
          <w:rFonts w:hint="eastAsia" w:ascii="仿宋" w:hAnsi="仿宋" w:eastAsia="仿宋" w:cs="仿宋"/>
          <w:b w:val="0"/>
          <w:bCs/>
          <w:lang w:val="en-US" w:eastAsia="zh-CN"/>
        </w:rPr>
        <w:t>（二）部门自</w:t>
      </w:r>
      <w:r>
        <w:rPr>
          <w:rFonts w:hint="eastAsia" w:ascii="仿宋" w:hAnsi="仿宋" w:eastAsia="仿宋" w:cs="仿宋"/>
          <w:b w:val="0"/>
          <w:bCs/>
          <w:highlight w:val="yellow"/>
          <w:lang w:val="en-US" w:eastAsia="zh-CN"/>
        </w:rPr>
        <w:t>评估工作</w:t>
      </w:r>
      <w:r>
        <w:rPr>
          <w:rFonts w:hint="eastAsia" w:ascii="仿宋" w:hAnsi="仿宋" w:eastAsia="仿宋" w:cs="仿宋"/>
          <w:b w:val="0"/>
          <w:bCs/>
          <w:lang w:val="en-US" w:eastAsia="zh-CN"/>
        </w:rPr>
        <w:t>开展情况</w:t>
      </w:r>
      <w:bookmarkEnd w:id="27"/>
    </w:p>
    <w:p w14:paraId="17BDFB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按照《蔡甸区财政局关于开展2023年区级财政支出绩效评价工作的通知》蔡财〔2023〕1号中关于开展财政资金绩效自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的要求，积极开展绩效自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w:t>
      </w:r>
    </w:p>
    <w:p w14:paraId="5ACADC1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一、评价工作方法</w:t>
      </w:r>
    </w:p>
    <w:p w14:paraId="246405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（一）绩效评价的方式包括现场评价和非现场评价方式。对2022年财政资金绩效评价采取现场评价的方式进行评价。</w:t>
      </w:r>
    </w:p>
    <w:p w14:paraId="6EF7A5F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现场评价需要绩效评价项目小组到现场采取询问、观察、检查、复核等方式对评价项目的有关情况进行核实，对收集的资料进行整理和科学地分析，根据综合分析的结果得出评价结果，撰写评价报告。</w:t>
      </w:r>
    </w:p>
    <w:p w14:paraId="665A561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方法主要包括成本效益分析法、比较法、最低成本法、公众评判法、统计计算法等。根据项目特点和评价工作的要求，选择比较法、公众评判法、统计计算法等方法进行绩效评价分析，与此同时，我们收集了大量项目实施单位的各种统计资料进行分析研究。</w:t>
      </w:r>
    </w:p>
    <w:p w14:paraId="22FA56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14:paraId="7CBF54D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14:paraId="6A7336B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14:paraId="598BF31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（三）证据收集方法</w:t>
      </w:r>
    </w:p>
    <w:p w14:paraId="0EBA4B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14:paraId="19B645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二、评分办法</w:t>
      </w:r>
    </w:p>
    <w:p w14:paraId="7A143A6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绩效评价结果采取评分与评级相结合的形式，具体分值和等级根据不同评价内容设定，体现客观公正，具有公信力。</w:t>
      </w:r>
    </w:p>
    <w:p w14:paraId="658EC28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三、评价实施步骤</w:t>
      </w:r>
    </w:p>
    <w:p w14:paraId="7AB855C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（一）成立绩效评价项目小组</w:t>
      </w:r>
    </w:p>
    <w:p w14:paraId="342023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蔡甸区残疾人联合会（以下简称“区残联”），根据《湖北省人民政府关于推进预算绩效管理的意见》《湖北省财政厅关于印发〈湖北省省级财政项目资金绩效评价实施暂行办法〉的通知》和《蔡甸区财政局关于开展2023年区级财政支出绩效评价工作的通知》蔡财〔2023〕1号等文件要求，成立绩效评价项目小组，具体负责实施绩效评价工作。</w:t>
      </w:r>
    </w:p>
    <w:p w14:paraId="736451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（二）绩效评价实施过程</w:t>
      </w:r>
    </w:p>
    <w:p w14:paraId="08D40A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绩效评价工作方案，工作方案包括绩效评价实施方案、评价指标体系及评价标准、基础数据表、绩效评价资料清单。项目小组对绩效评价相关事项进行讨论与研究，反复商讨并制定绩效评价指标体系以及所需的基础数据表，确定评价证据、数据来源及证据收集方法。</w:t>
      </w:r>
    </w:p>
    <w:p w14:paraId="3B1D6B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制定的绩效评价工作方案，收集项目实施单位项目实施材料，通过现场评价方法进行绩效评价。包括收集、审核基础资料；开展现场核查，核实项目是否实施以及项目实施情况是否良好，并进行拍照留痕；对收集的证据运用科学的方法进行综合分析。</w:t>
      </w:r>
    </w:p>
    <w:p w14:paraId="44004DF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3．根据分析后的情况评分，形成综合评价结果，将评价结果纳入已确定的各项指标临界区间进行比较，确定绩效评价等级。</w:t>
      </w:r>
    </w:p>
    <w:p w14:paraId="543257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4．对评价工作进行总结，将项目基本情况、项目单位绩效报告情况、绩效评价工作情况、评价分析及评价结果、评价等级、经验及做法、问题及建议等形成书面报告，向区残联汇报。</w:t>
      </w:r>
    </w:p>
    <w:p w14:paraId="78D8613C">
      <w:pPr>
        <w:pStyle w:val="3"/>
        <w:bidi w:val="0"/>
        <w:spacing w:line="240" w:lineRule="auto"/>
        <w:rPr>
          <w:rFonts w:hint="eastAsia" w:ascii="仿宋" w:hAnsi="仿宋" w:eastAsia="仿宋" w:cs="仿宋"/>
          <w:b w:val="0"/>
          <w:bCs/>
          <w:lang w:val="en-US" w:eastAsia="zh-CN"/>
        </w:rPr>
      </w:pPr>
      <w:bookmarkStart w:id="28" w:name="_Toc20937"/>
      <w:r>
        <w:rPr>
          <w:rFonts w:hint="eastAsia" w:ascii="仿宋" w:hAnsi="仿宋" w:eastAsia="仿宋" w:cs="仿宋"/>
          <w:b w:val="0"/>
          <w:bCs/>
          <w:lang w:val="en-US" w:eastAsia="zh-CN"/>
        </w:rPr>
        <w:t>（三）绩效评价结果</w:t>
      </w:r>
      <w:bookmarkEnd w:id="28"/>
    </w:p>
    <w:p w14:paraId="7E88AA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“残疾人托底保障专项经费”项目</w:t>
      </w:r>
      <w:r>
        <w:rPr>
          <w:rFonts w:hint="eastAsia" w:ascii="仿宋" w:hAnsi="仿宋" w:eastAsia="仿宋" w:cs="仿宋"/>
          <w:sz w:val="32"/>
          <w:szCs w:val="32"/>
          <w:lang w:val="en-US" w:eastAsia="zh-CN"/>
        </w:rPr>
        <w:t>年初设定</w:t>
      </w:r>
      <w:r>
        <w:rPr>
          <w:rFonts w:hint="eastAsia" w:ascii="仿宋" w:hAnsi="仿宋" w:eastAsia="仿宋" w:cs="仿宋"/>
          <w:sz w:val="32"/>
          <w:szCs w:val="32"/>
          <w:lang w:eastAsia="zh-CN"/>
        </w:rPr>
        <w:t>绩效目标完成，</w:t>
      </w:r>
      <w:r>
        <w:rPr>
          <w:rFonts w:hint="eastAsia" w:ascii="仿宋" w:hAnsi="仿宋" w:eastAsia="仿宋" w:cs="仿宋"/>
          <w:sz w:val="32"/>
          <w:szCs w:val="32"/>
          <w:lang w:val="en-US" w:eastAsia="zh-CN"/>
        </w:rPr>
        <w:t>预算执行率93.33%，项目执行情况良好</w:t>
      </w:r>
      <w:r>
        <w:rPr>
          <w:rFonts w:hint="eastAsia" w:ascii="仿宋" w:hAnsi="仿宋" w:eastAsia="仿宋" w:cs="仿宋"/>
          <w:sz w:val="32"/>
          <w:szCs w:val="32"/>
          <w:lang w:eastAsia="zh-CN"/>
        </w:rPr>
        <w:t>。</w:t>
      </w:r>
    </w:p>
    <w:p w14:paraId="6564285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14:paraId="655F44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79F38EA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w:t>
      </w:r>
    </w:p>
    <w:p w14:paraId="574332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2022年度残疾人托底保障专项经费项目自评表</w:t>
      </w:r>
    </w:p>
    <w:p w14:paraId="4E077C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单位名称：</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武汉市蔡甸区残疾人联合会</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 xml:space="preserve">         填报日期：2023年3月24日</w:t>
      </w:r>
      <w:r>
        <w:rPr>
          <w:rFonts w:hint="eastAsia" w:ascii="仿宋" w:hAnsi="仿宋" w:eastAsia="仿宋" w:cs="仿宋"/>
          <w:sz w:val="22"/>
          <w:szCs w:val="22"/>
          <w:lang w:val="en-US" w:eastAsia="zh-CN"/>
        </w:rPr>
        <w:tab/>
      </w:r>
    </w:p>
    <w:tbl>
      <w:tblPr>
        <w:tblStyle w:val="10"/>
        <w:tblW w:w="6206" w:type="pct"/>
        <w:tblInd w:w="-1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1211"/>
        <w:gridCol w:w="1100"/>
        <w:gridCol w:w="1522"/>
        <w:gridCol w:w="789"/>
        <w:gridCol w:w="1100"/>
        <w:gridCol w:w="422"/>
        <w:gridCol w:w="1006"/>
        <w:gridCol w:w="351"/>
        <w:gridCol w:w="1965"/>
      </w:tblGrid>
      <w:tr w14:paraId="443C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87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9FD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残疾人托底保障专项经费</w:t>
            </w:r>
          </w:p>
        </w:tc>
      </w:tr>
      <w:tr w14:paraId="591C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F9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04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武汉市蔡甸区残疾人联合会</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12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17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武汉市蔡甸区残疾人联合会</w:t>
            </w:r>
          </w:p>
        </w:tc>
      </w:tr>
      <w:tr w14:paraId="1D7D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D6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    （万元）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A05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资金来源</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19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10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A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14:paraId="2A45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08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CDF9D">
            <w:pPr>
              <w:keepNext w:val="0"/>
              <w:keepLines w:val="0"/>
              <w:widowControl/>
              <w:suppressLineNumbers w:val="0"/>
              <w:spacing w:before="0" w:beforeAutospacing="0" w:after="0" w:afterAutospacing="0"/>
              <w:ind w:left="0" w:right="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一般预算内拨款</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78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276.19 </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E5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257.77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5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w:t>
            </w:r>
          </w:p>
        </w:tc>
      </w:tr>
      <w:tr w14:paraId="0D7D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D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AF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19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276.19 </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E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257.77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F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93.33%</w:t>
            </w:r>
          </w:p>
        </w:tc>
      </w:tr>
      <w:tr w14:paraId="3CEA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38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年度绩效目标完成情况</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6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3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B2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5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4B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7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未完成原因及改进措施</w:t>
            </w:r>
          </w:p>
        </w:tc>
      </w:tr>
      <w:tr w14:paraId="63A7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7F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5B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E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8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残疾人托养服务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F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1F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A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0D59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51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DD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AB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0E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残疾人培训人数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D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A0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4C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42A9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408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ADB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F5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8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创建残疾人之家</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5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D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8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0C8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8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0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F8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F7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新增就业人数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8C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BE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79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完成</w:t>
            </w:r>
          </w:p>
        </w:tc>
      </w:tr>
      <w:tr w14:paraId="67F6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C4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4A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EB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A7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购买残疾人意外伤害保险完成率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D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06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FA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425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0F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51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nil"/>
              <w:right w:val="single" w:color="000000" w:sz="4" w:space="0"/>
            </w:tcBorders>
            <w:shd w:val="clear" w:color="auto" w:fill="auto"/>
            <w:vAlign w:val="center"/>
          </w:tcPr>
          <w:p w14:paraId="616E1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9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残疾人购买意外伤害覆盖率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F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8B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3E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3A7B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2F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9A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0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F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F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02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E1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1166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1A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08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C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BF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意外保险人均成本</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1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控制标准内</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2E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标准内</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05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3749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91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5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5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B3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改善残疾人生活质量</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5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24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77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03E4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C7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D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6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项目实施具有可持续影响</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A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39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C8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27FF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A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8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9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B0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被补贴对象满意度</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D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B7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DA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2DBB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000" w:type="pct"/>
            <w:gridSpan w:val="10"/>
            <w:tcBorders>
              <w:top w:val="nil"/>
              <w:left w:val="nil"/>
              <w:bottom w:val="nil"/>
              <w:right w:val="nil"/>
            </w:tcBorders>
            <w:shd w:val="clear" w:color="auto" w:fill="auto"/>
            <w:vAlign w:val="center"/>
          </w:tcPr>
          <w:p w14:paraId="4369A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备注：1.预算执行情况口径：预算数为调整后项目预算总额（包括上年结余结转），执行数为项目实际完成支出。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2.定性指标分档原则：分为达成预期指标、部分达成预期指标并具有一定效果、未达成预期指标且效果较差三档。选择部分达成或未达成的，必须说明原因和改进措施。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3.基于经济性和必要性等因素考虑，满意度指标难以统计的，在自评时可不作为必评指标。</w:t>
            </w:r>
          </w:p>
        </w:tc>
      </w:tr>
    </w:tbl>
    <w:p w14:paraId="136E510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sz w:val="22"/>
          <w:szCs w:val="22"/>
          <w:lang w:val="en-US" w:eastAsia="zh-CN"/>
        </w:rPr>
      </w:pPr>
    </w:p>
    <w:p w14:paraId="0DC5F6C6">
      <w:pPr>
        <w:rPr>
          <w:rFonts w:hint="eastAsia" w:ascii="仿宋" w:hAnsi="仿宋" w:eastAsia="仿宋" w:cs="仿宋"/>
          <w:lang w:val="en-US" w:eastAsia="zh-CN"/>
        </w:rPr>
      </w:pPr>
    </w:p>
    <w:p w14:paraId="6DC5EEB8">
      <w:pPr>
        <w:rPr>
          <w:rFonts w:hint="eastAsia" w:ascii="仿宋" w:hAnsi="仿宋" w:eastAsia="仿宋" w:cs="仿宋"/>
          <w:lang w:val="en-US" w:eastAsia="zh-CN"/>
        </w:rPr>
      </w:pPr>
    </w:p>
    <w:p w14:paraId="630DC7D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C8FC0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207EE88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315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2947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2947B">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1192"/>
    <w:multiLevelType w:val="singleLevel"/>
    <w:tmpl w:val="18061192"/>
    <w:lvl w:ilvl="0" w:tentative="0">
      <w:start w:val="1"/>
      <w:numFmt w:val="chineseCounting"/>
      <w:suff w:val="nothing"/>
      <w:lvlText w:val="（%1）"/>
      <w:lvlJc w:val="left"/>
      <w:rPr>
        <w:rFonts w:hint="eastAsia"/>
      </w:rPr>
    </w:lvl>
  </w:abstractNum>
  <w:abstractNum w:abstractNumId="1">
    <w:nsid w:val="77BFE4E9"/>
    <w:multiLevelType w:val="singleLevel"/>
    <w:tmpl w:val="77BFE4E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DB20F7"/>
    <w:rsid w:val="01D12314"/>
    <w:rsid w:val="02C848FD"/>
    <w:rsid w:val="02FB021D"/>
    <w:rsid w:val="04C946C0"/>
    <w:rsid w:val="05F640F9"/>
    <w:rsid w:val="070D0B30"/>
    <w:rsid w:val="09680BF5"/>
    <w:rsid w:val="0B071D3B"/>
    <w:rsid w:val="0C534BD4"/>
    <w:rsid w:val="0C655404"/>
    <w:rsid w:val="0D3A1F53"/>
    <w:rsid w:val="0E681446"/>
    <w:rsid w:val="0F41684C"/>
    <w:rsid w:val="0FFD0285"/>
    <w:rsid w:val="110023AD"/>
    <w:rsid w:val="119B45DC"/>
    <w:rsid w:val="11C97EA9"/>
    <w:rsid w:val="141C6AA3"/>
    <w:rsid w:val="146C5694"/>
    <w:rsid w:val="148C19C8"/>
    <w:rsid w:val="14C8078D"/>
    <w:rsid w:val="15121A08"/>
    <w:rsid w:val="16F874F3"/>
    <w:rsid w:val="18BB318B"/>
    <w:rsid w:val="1A2C356C"/>
    <w:rsid w:val="1CA218C3"/>
    <w:rsid w:val="1CE96785"/>
    <w:rsid w:val="1F1D51D6"/>
    <w:rsid w:val="1FBD682C"/>
    <w:rsid w:val="20503FE2"/>
    <w:rsid w:val="222B739A"/>
    <w:rsid w:val="22386CFF"/>
    <w:rsid w:val="22AB12BB"/>
    <w:rsid w:val="23F36750"/>
    <w:rsid w:val="2560558E"/>
    <w:rsid w:val="265F25D3"/>
    <w:rsid w:val="281C4C87"/>
    <w:rsid w:val="288C2760"/>
    <w:rsid w:val="28B45DEB"/>
    <w:rsid w:val="294C6E3F"/>
    <w:rsid w:val="2A43616A"/>
    <w:rsid w:val="2D40315E"/>
    <w:rsid w:val="2D636E4D"/>
    <w:rsid w:val="2DEE4968"/>
    <w:rsid w:val="2FAD736C"/>
    <w:rsid w:val="30120F5C"/>
    <w:rsid w:val="31D11625"/>
    <w:rsid w:val="31E85878"/>
    <w:rsid w:val="3219405C"/>
    <w:rsid w:val="324C7EAF"/>
    <w:rsid w:val="33953AD8"/>
    <w:rsid w:val="33FB393B"/>
    <w:rsid w:val="351516AA"/>
    <w:rsid w:val="368340BC"/>
    <w:rsid w:val="370A4414"/>
    <w:rsid w:val="38691B7D"/>
    <w:rsid w:val="3AFC4BC0"/>
    <w:rsid w:val="3E234B49"/>
    <w:rsid w:val="3F2C6E75"/>
    <w:rsid w:val="3F46170F"/>
    <w:rsid w:val="3FCC0881"/>
    <w:rsid w:val="3FD35411"/>
    <w:rsid w:val="3FE37A8D"/>
    <w:rsid w:val="412C5A7C"/>
    <w:rsid w:val="41913B31"/>
    <w:rsid w:val="42C81E5B"/>
    <w:rsid w:val="42D65788"/>
    <w:rsid w:val="444F5357"/>
    <w:rsid w:val="459040FF"/>
    <w:rsid w:val="477041E8"/>
    <w:rsid w:val="477137B3"/>
    <w:rsid w:val="48BB5339"/>
    <w:rsid w:val="4A1470AD"/>
    <w:rsid w:val="4A6242BC"/>
    <w:rsid w:val="4B775167"/>
    <w:rsid w:val="4BC602FA"/>
    <w:rsid w:val="4C8B65CE"/>
    <w:rsid w:val="4CA02D6C"/>
    <w:rsid w:val="4CB61310"/>
    <w:rsid w:val="4D622825"/>
    <w:rsid w:val="4DAE5A6A"/>
    <w:rsid w:val="4F813D71"/>
    <w:rsid w:val="500F00E3"/>
    <w:rsid w:val="5105691F"/>
    <w:rsid w:val="51594625"/>
    <w:rsid w:val="52E42E4C"/>
    <w:rsid w:val="55982E86"/>
    <w:rsid w:val="576B32B2"/>
    <w:rsid w:val="57DA1F20"/>
    <w:rsid w:val="58003366"/>
    <w:rsid w:val="58F43202"/>
    <w:rsid w:val="59F76F17"/>
    <w:rsid w:val="5AE451B8"/>
    <w:rsid w:val="5DD60DF1"/>
    <w:rsid w:val="5E9A3A3E"/>
    <w:rsid w:val="5F1D4FFB"/>
    <w:rsid w:val="5FCC092D"/>
    <w:rsid w:val="606F2E37"/>
    <w:rsid w:val="614E0C9F"/>
    <w:rsid w:val="61994EFA"/>
    <w:rsid w:val="6388676C"/>
    <w:rsid w:val="64C51278"/>
    <w:rsid w:val="65A771A3"/>
    <w:rsid w:val="6622352C"/>
    <w:rsid w:val="67FB2B15"/>
    <w:rsid w:val="68666B58"/>
    <w:rsid w:val="68BC1DAF"/>
    <w:rsid w:val="694C2E11"/>
    <w:rsid w:val="6A1A3E14"/>
    <w:rsid w:val="6B0B56DA"/>
    <w:rsid w:val="6D8971A7"/>
    <w:rsid w:val="6DE90B5F"/>
    <w:rsid w:val="70A24B63"/>
    <w:rsid w:val="718A4220"/>
    <w:rsid w:val="71B73ED1"/>
    <w:rsid w:val="720E0702"/>
    <w:rsid w:val="722F7ECD"/>
    <w:rsid w:val="72730565"/>
    <w:rsid w:val="737316EB"/>
    <w:rsid w:val="74341F76"/>
    <w:rsid w:val="75B726B5"/>
    <w:rsid w:val="76994E49"/>
    <w:rsid w:val="771245DB"/>
    <w:rsid w:val="7A602ED9"/>
    <w:rsid w:val="7B8A14E5"/>
    <w:rsid w:val="7BB83C85"/>
    <w:rsid w:val="7CE000AD"/>
    <w:rsid w:val="7F545497"/>
    <w:rsid w:val="BFEBE24E"/>
    <w:rsid w:val="DA97FA31"/>
    <w:rsid w:val="DB3FD1CB"/>
    <w:rsid w:val="FDEF8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customStyle="1" w:styleId="14">
    <w:name w:val="标题 2 Char"/>
    <w:link w:val="3"/>
    <w:qFormat/>
    <w:uiPriority w:val="0"/>
    <w:rPr>
      <w:rFonts w:ascii="Arial" w:hAnsi="Arial" w:eastAsia="黑体"/>
      <w:b/>
      <w:sz w:val="32"/>
    </w:rPr>
  </w:style>
  <w:style w:type="paragraph" w:customStyle="1" w:styleId="15">
    <w:name w:val="WPSOffice手动目录 1"/>
    <w:qFormat/>
    <w:uiPriority w:val="0"/>
    <w:pPr>
      <w:ind w:leftChars="0"/>
    </w:pPr>
    <w:rPr>
      <w:rFonts w:ascii="Calibri" w:hAnsi="Calibri" w:eastAsia="宋体" w:cs="Calibri"/>
      <w:sz w:val="20"/>
      <w:szCs w:val="20"/>
    </w:rPr>
  </w:style>
  <w:style w:type="paragraph" w:customStyle="1" w:styleId="16">
    <w:name w:val="WPSOffice手动目录 2"/>
    <w:qFormat/>
    <w:uiPriority w:val="0"/>
    <w:pPr>
      <w:ind w:leftChars="200"/>
    </w:pPr>
    <w:rPr>
      <w:rFonts w:ascii="Calibri" w:hAnsi="Calibri" w:eastAsia="宋体" w:cs="Calibri"/>
      <w:sz w:val="20"/>
      <w:szCs w:val="20"/>
    </w:rPr>
  </w:style>
  <w:style w:type="paragraph" w:customStyle="1" w:styleId="17">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2022-03-15T09:08:00Z</dcterms:created>
  <dc:creator>Administrator</dc:creator>
  <cp:lastModifiedBy>clcl</cp:lastModifiedBy>
  <dcterms:modified xsi:type="dcterms:W3CDTF">2025-12-11T16:25:20Z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B826B1F1F94A3C94F07F3A69F121FD14_43</vt:lpwstr>
  </property>
</Properties>
</file>