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2022年</w:t>
      </w:r>
      <w:r>
        <w:rPr>
          <w:rFonts w:hint="eastAsia" w:ascii="仿宋" w:hAnsi="仿宋" w:eastAsia="仿宋" w:cs="仿宋"/>
          <w:sz w:val="44"/>
          <w:szCs w:val="44"/>
        </w:rPr>
        <w:t>度</w:t>
      </w:r>
    </w:p>
    <w:p>
      <w:pPr>
        <w:spacing w:line="600" w:lineRule="auto"/>
        <w:jc w:val="center"/>
        <w:rPr>
          <w:rFonts w:hint="eastAsia" w:ascii="仿宋" w:hAnsi="仿宋" w:eastAsia="仿宋" w:cs="仿宋"/>
          <w:sz w:val="44"/>
          <w:szCs w:val="44"/>
          <w:lang w:eastAsia="zh-CN"/>
        </w:rPr>
      </w:pPr>
      <w:r>
        <w:rPr>
          <w:rFonts w:hint="eastAsia" w:ascii="仿宋" w:hAnsi="仿宋" w:eastAsia="仿宋" w:cs="仿宋"/>
          <w:sz w:val="44"/>
          <w:szCs w:val="44"/>
          <w:lang w:eastAsia="zh-CN"/>
        </w:rPr>
        <w:t>残疾人服务中心运行管理经费项目</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：残疾人服务中心运行管理经费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评价单位：武汉市蔡甸区残疾人联合会</w:t>
      </w: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2023年3月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1</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2</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2</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8"/>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5</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5</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6</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11</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残疾人服务中心运行管理经费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年初预算资金73.7</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预算调整数58.96万元，</w:t>
      </w:r>
      <w:r>
        <w:rPr>
          <w:rFonts w:hint="eastAsia" w:ascii="仿宋" w:hAnsi="仿宋" w:eastAsia="仿宋" w:cs="仿宋"/>
          <w:sz w:val="32"/>
          <w:szCs w:val="32"/>
        </w:rPr>
        <w:t>资金全部到位。“</w:t>
      </w:r>
      <w:r>
        <w:rPr>
          <w:rFonts w:hint="eastAsia" w:ascii="仿宋" w:hAnsi="仿宋" w:eastAsia="仿宋" w:cs="仿宋"/>
          <w:sz w:val="32"/>
          <w:szCs w:val="32"/>
          <w:lang w:eastAsia="zh-CN"/>
        </w:rPr>
        <w:t>残疾人服务中心运行管理经费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58.96</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2022年“残疾人服务中心运行管理经费项目”共设置9个绩效目标，完成9个。完成绩效目标分别是：①物业管理服务365天②电梯保养1次③物资采购验收通过率100%④项目于12月31日前完成⑤资金使用率100%⑥保障机关正常运转⑦办公环境得到改善⑧项目实施具有可持续影响⑨职工满意度达90%。</w:t>
      </w: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未完成绩效目标：无</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残疾人服务中心运行管理经费项目</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年初预算</w:t>
      </w:r>
      <w:r>
        <w:rPr>
          <w:rFonts w:hint="eastAsia" w:ascii="仿宋" w:hAnsi="仿宋" w:eastAsia="仿宋" w:cs="仿宋"/>
          <w:sz w:val="32"/>
          <w:szCs w:val="32"/>
          <w:lang w:val="en-US" w:eastAsia="zh-CN"/>
        </w:rPr>
        <w:t>73.70</w:t>
      </w:r>
      <w:r>
        <w:rPr>
          <w:rFonts w:hint="eastAsia" w:ascii="仿宋" w:hAnsi="仿宋" w:eastAsia="仿宋" w:cs="仿宋"/>
          <w:sz w:val="32"/>
          <w:szCs w:val="32"/>
        </w:rPr>
        <w:t>万元。</w:t>
      </w:r>
      <w:r>
        <w:rPr>
          <w:rFonts w:hint="eastAsia" w:ascii="仿宋" w:hAnsi="仿宋" w:eastAsia="仿宋" w:cs="仿宋"/>
          <w:sz w:val="32"/>
          <w:szCs w:val="32"/>
          <w:lang w:val="en-US" w:eastAsia="zh-CN"/>
        </w:rPr>
        <w:t>预算调整数58.96万元，主要是调整残疾人保险。实际</w:t>
      </w:r>
      <w:r>
        <w:rPr>
          <w:rFonts w:hint="eastAsia" w:ascii="仿宋" w:hAnsi="仿宋" w:eastAsia="仿宋" w:cs="仿宋"/>
          <w:sz w:val="32"/>
          <w:szCs w:val="32"/>
        </w:rPr>
        <w:t>支出金额</w:t>
      </w:r>
      <w:r>
        <w:rPr>
          <w:rFonts w:hint="eastAsia" w:ascii="仿宋" w:hAnsi="仿宋" w:eastAsia="仿宋" w:cs="仿宋"/>
          <w:sz w:val="32"/>
          <w:szCs w:val="32"/>
          <w:lang w:val="en-US" w:eastAsia="zh-CN"/>
        </w:rPr>
        <w:t>58.96</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产出指标主要从</w:t>
      </w:r>
      <w:r>
        <w:rPr>
          <w:rFonts w:hint="eastAsia" w:ascii="仿宋" w:hAnsi="仿宋" w:eastAsia="仿宋" w:cs="仿宋"/>
          <w:b w:val="0"/>
          <w:bCs/>
          <w:sz w:val="32"/>
          <w:szCs w:val="32"/>
          <w:lang w:val="en-US" w:eastAsia="zh-CN"/>
        </w:rPr>
        <w:t>物业管理服务、电梯保养、物资采购验收通过率、项目完成时间、资金使用率、保障机关正常运转、办公环境得到改善、项目实施具有可持续影响、职工满意度等</w:t>
      </w:r>
      <w:r>
        <w:rPr>
          <w:rFonts w:hint="eastAsia" w:ascii="仿宋" w:hAnsi="仿宋" w:eastAsia="仿宋" w:cs="仿宋"/>
          <w:sz w:val="32"/>
          <w:szCs w:val="32"/>
        </w:rPr>
        <w:t>这</w:t>
      </w:r>
      <w:r>
        <w:rPr>
          <w:rFonts w:hint="eastAsia" w:ascii="仿宋" w:hAnsi="仿宋" w:eastAsia="仿宋" w:cs="仿宋"/>
          <w:sz w:val="32"/>
          <w:szCs w:val="32"/>
          <w:lang w:val="en-US" w:eastAsia="zh-CN"/>
        </w:rPr>
        <w:t>九</w:t>
      </w:r>
      <w:r>
        <w:rPr>
          <w:rFonts w:hint="eastAsia" w:ascii="仿宋" w:hAnsi="仿宋" w:eastAsia="仿宋" w:cs="仿宋"/>
          <w:sz w:val="32"/>
          <w:szCs w:val="32"/>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物业管理服务天数</w:t>
      </w:r>
      <w:r>
        <w:rPr>
          <w:rFonts w:hint="eastAsia" w:ascii="仿宋" w:hAnsi="仿宋" w:eastAsia="仿宋" w:cs="仿宋"/>
          <w:sz w:val="32"/>
          <w:szCs w:val="32"/>
        </w:rPr>
        <w:t>，指项目实施</w:t>
      </w:r>
      <w:r>
        <w:rPr>
          <w:rFonts w:hint="eastAsia" w:ascii="仿宋" w:hAnsi="仿宋" w:eastAsia="仿宋" w:cs="仿宋"/>
          <w:sz w:val="32"/>
          <w:szCs w:val="32"/>
          <w:lang w:val="en-US" w:eastAsia="zh-CN"/>
        </w:rPr>
        <w:t>单位通过购买第三方服务提供物业服务情况</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highlight w:val="none"/>
        </w:rPr>
        <w:t>年初</w:t>
      </w:r>
      <w:r>
        <w:rPr>
          <w:rFonts w:hint="eastAsia" w:ascii="仿宋" w:hAnsi="仿宋" w:eastAsia="仿宋" w:cs="仿宋"/>
          <w:sz w:val="32"/>
          <w:szCs w:val="32"/>
          <w:highlight w:val="none"/>
          <w:lang w:val="en-US" w:eastAsia="zh-CN"/>
        </w:rPr>
        <w:t>目标值365天</w:t>
      </w:r>
      <w:r>
        <w:rPr>
          <w:rFonts w:hint="eastAsia" w:ascii="仿宋" w:hAnsi="仿宋" w:eastAsia="仿宋" w:cs="仿宋"/>
          <w:sz w:val="32"/>
          <w:szCs w:val="32"/>
          <w:highlight w:val="none"/>
        </w:rPr>
        <w:t>，实际</w:t>
      </w:r>
      <w:r>
        <w:rPr>
          <w:rFonts w:hint="eastAsia" w:ascii="仿宋" w:hAnsi="仿宋" w:eastAsia="仿宋" w:cs="仿宋"/>
          <w:sz w:val="32"/>
          <w:szCs w:val="32"/>
          <w:highlight w:val="none"/>
          <w:lang w:val="en-US" w:eastAsia="zh-CN"/>
        </w:rPr>
        <w:t>完成服务365天</w:t>
      </w:r>
      <w:r>
        <w:rPr>
          <w:rFonts w:hint="eastAsia" w:ascii="仿宋" w:hAnsi="仿宋" w:eastAsia="仿宋" w:cs="仿宋"/>
          <w:sz w:val="32"/>
          <w:szCs w:val="32"/>
          <w:highlight w:val="none"/>
        </w:rPr>
        <w:t>，</w:t>
      </w:r>
      <w:r>
        <w:rPr>
          <w:rFonts w:hint="eastAsia" w:ascii="仿宋" w:hAnsi="仿宋" w:eastAsia="仿宋" w:cs="仿宋"/>
          <w:sz w:val="32"/>
          <w:szCs w:val="32"/>
        </w:rPr>
        <w:t>完成全年目标。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电梯保养</w:t>
      </w:r>
      <w:r>
        <w:rPr>
          <w:rFonts w:hint="eastAsia" w:ascii="仿宋" w:hAnsi="仿宋" w:eastAsia="仿宋" w:cs="仿宋"/>
          <w:sz w:val="32"/>
          <w:szCs w:val="32"/>
          <w:lang w:val="en-US" w:eastAsia="zh-CN"/>
        </w:rPr>
        <w:t>次数，指的项目实施实际完成情况，</w:t>
      </w:r>
      <w:r>
        <w:rPr>
          <w:rFonts w:hint="eastAsia" w:ascii="仿宋" w:hAnsi="仿宋" w:eastAsia="仿宋" w:cs="仿宋"/>
          <w:sz w:val="32"/>
          <w:szCs w:val="32"/>
        </w:rPr>
        <w:t>用以反映和考核项目产出数量目标的实现程度</w:t>
      </w:r>
      <w:r>
        <w:rPr>
          <w:rFonts w:hint="eastAsia" w:ascii="仿宋" w:hAnsi="仿宋" w:eastAsia="仿宋" w:cs="仿宋"/>
          <w:sz w:val="32"/>
          <w:szCs w:val="32"/>
          <w:lang w:eastAsia="zh-CN"/>
        </w:rPr>
        <w:t>。</w:t>
      </w:r>
      <w:r>
        <w:rPr>
          <w:rFonts w:hint="eastAsia" w:ascii="仿宋" w:hAnsi="仿宋" w:eastAsia="仿宋" w:cs="仿宋"/>
          <w:sz w:val="32"/>
          <w:szCs w:val="32"/>
        </w:rPr>
        <w:t>年初</w:t>
      </w:r>
      <w:r>
        <w:rPr>
          <w:rFonts w:hint="eastAsia" w:ascii="仿宋" w:hAnsi="仿宋" w:eastAsia="仿宋" w:cs="仿宋"/>
          <w:sz w:val="32"/>
          <w:szCs w:val="32"/>
          <w:lang w:val="en-US" w:eastAsia="zh-CN"/>
        </w:rPr>
        <w:t>目标值1次，实际完成1次。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物资采购验收通过率，</w:t>
      </w:r>
      <w:r>
        <w:rPr>
          <w:rFonts w:hint="eastAsia" w:ascii="仿宋" w:hAnsi="仿宋" w:eastAsia="仿宋" w:cs="仿宋"/>
          <w:sz w:val="32"/>
          <w:szCs w:val="32"/>
        </w:rPr>
        <w:t>指项目实施</w:t>
      </w:r>
      <w:r>
        <w:rPr>
          <w:rFonts w:hint="eastAsia" w:ascii="仿宋" w:hAnsi="仿宋" w:eastAsia="仿宋" w:cs="仿宋"/>
          <w:b w:val="0"/>
          <w:bCs/>
          <w:sz w:val="32"/>
          <w:szCs w:val="32"/>
          <w:lang w:val="en-US" w:eastAsia="zh-CN"/>
        </w:rPr>
        <w:t>应验收与实际验收比率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完成时间，是指项目计划完成时间与实际完成时间情况，用以反映和考核项目资金落实的及时性程度，年初目标值12月31，实际已于12月31日完成。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④成本指标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资金使用率，是指项目计划资金使用与实际使用的比率，用以反映和考核项目资金使用程度。年初目标值100%，完成率100%。</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后为就业中心、康复中心及援助岗经费得到了保障，各项残疾人工作全面完成。区残联以解决残疾人急难愁盼问题为根本目的，持续提高残疾人服务水平，全面提升残疾人基本公共服务质效，不断提高残疾人获得感、幸福感、安全感和满意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项目实施具有可持续影响，是指项目后续运行及成效发挥的可持续影响情况。省、市、区制定并出台相应专项资金管理办法；各项政策实施后对于受助残疾人各项生活工作得到了改善、提高残疾人及融入社会程度。项目具有可持续性。</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lang w:val="en-US" w:eastAsia="zh-CN"/>
        </w:rPr>
      </w:pPr>
      <w:r>
        <w:rPr>
          <w:rFonts w:hint="eastAsia" w:ascii="仿宋" w:hAnsi="仿宋" w:eastAsia="仿宋" w:cs="仿宋"/>
          <w:sz w:val="32"/>
          <w:szCs w:val="32"/>
          <w:lang w:val="en-US" w:eastAsia="zh-CN"/>
        </w:rPr>
        <w:t>残疾人</w:t>
      </w:r>
      <w:r>
        <w:rPr>
          <w:rFonts w:hint="eastAsia" w:ascii="仿宋" w:hAnsi="仿宋" w:eastAsia="仿宋" w:cs="仿宋"/>
          <w:sz w:val="32"/>
          <w:szCs w:val="32"/>
        </w:rPr>
        <w:t>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指的是该项目实施后服务对象满意度。为残疾人提供更人性化、多元化的服务，努力帮助他们恢复正常生活能力、提高生活质量，更好地让他们回归社会、重启精彩人生。</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规范预算绩效管理，提高财政资金使用效益。加强</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预算绩效管理知识宣贯与学习，提升预算绩效管理水平。</w:t>
      </w:r>
      <w:r>
        <w:rPr>
          <w:rFonts w:hint="eastAsia" w:ascii="仿宋" w:hAnsi="仿宋" w:eastAsia="仿宋" w:cs="仿宋"/>
          <w:sz w:val="32"/>
          <w:szCs w:val="32"/>
          <w:lang w:val="en-US" w:eastAsia="zh-CN"/>
        </w:rPr>
        <w:t>各业务口</w:t>
      </w:r>
      <w:r>
        <w:rPr>
          <w:rFonts w:hint="eastAsia" w:ascii="仿宋" w:hAnsi="仿宋" w:eastAsia="仿宋" w:cs="仿宋"/>
          <w:sz w:val="32"/>
          <w:szCs w:val="32"/>
          <w:lang w:eastAsia="zh-CN"/>
        </w:rPr>
        <w:t>在申报预算时应明确项目实施计划，设定合理、清晰、可衡量的绩效目标和绩效指标，加强对绩效目标的实质性审核，以切实提高预算绩效目标对预算管理和财政资金使用效果的促进作用，提高预算管理水平和政策实施效果，为经济社会发展提供有力保障。</w:t>
      </w:r>
    </w:p>
    <w:p>
      <w:pPr>
        <w:pStyle w:val="2"/>
        <w:bidi w:val="0"/>
        <w:rPr>
          <w:rFonts w:hint="eastAsia" w:ascii="仿宋" w:hAnsi="仿宋" w:eastAsia="仿宋" w:cs="仿宋"/>
          <w:lang w:val="en-US" w:eastAsia="zh-CN"/>
        </w:rPr>
      </w:pPr>
      <w:bookmarkStart w:id="11" w:name="_Toc5103"/>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提高预算编制水平，</w:t>
      </w:r>
      <w:r>
        <w:rPr>
          <w:rFonts w:hint="eastAsia" w:ascii="仿宋" w:hAnsi="仿宋" w:eastAsia="仿宋" w:cs="仿宋"/>
          <w:sz w:val="32"/>
          <w:szCs w:val="32"/>
          <w:lang w:eastAsia="zh-CN"/>
        </w:rPr>
        <w:t>加大</w:t>
      </w:r>
      <w:r>
        <w:rPr>
          <w:rFonts w:hint="eastAsia" w:ascii="仿宋" w:hAnsi="仿宋" w:eastAsia="仿宋" w:cs="仿宋"/>
          <w:sz w:val="32"/>
          <w:szCs w:val="32"/>
        </w:rPr>
        <w:t>预算编制审核力度，确保绩效目标申报表的完整性、准确性</w:t>
      </w:r>
      <w:r>
        <w:rPr>
          <w:rFonts w:hint="eastAsia" w:ascii="仿宋" w:hAnsi="仿宋" w:eastAsia="仿宋" w:cs="仿宋"/>
          <w:sz w:val="32"/>
          <w:szCs w:val="32"/>
          <w:lang w:eastAsia="zh-CN"/>
        </w:rPr>
        <w:t>。</w:t>
      </w:r>
      <w:r>
        <w:rPr>
          <w:rFonts w:hint="eastAsia" w:ascii="仿宋" w:hAnsi="仿宋" w:eastAsia="仿宋" w:cs="仿宋"/>
          <w:sz w:val="32"/>
          <w:szCs w:val="32"/>
        </w:rPr>
        <w:t>总结往年项目资金使用情况和项目实施效果，合理分配项目资金，预算执行过程中如有预算额度剩余，应执行预算调整程序调减项目预算</w:t>
      </w:r>
      <w:r>
        <w:rPr>
          <w:rFonts w:hint="eastAsia" w:ascii="仿宋" w:hAnsi="仿宋" w:eastAsia="仿宋" w:cs="仿宋"/>
          <w:sz w:val="32"/>
          <w:szCs w:val="32"/>
          <w:lang w:eastAsia="zh-CN"/>
        </w:rPr>
        <w:t>。严格按照项目实施内容和资金性质进行准确列支，杜绝随意改变预算资金的使用范围等行为发生，确保财政资金使用合规，提高预算执行真实性，落实财政过紧日子要求。</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sz w:val="32"/>
          <w:szCs w:val="32"/>
          <w:lang w:val="en-US" w:eastAsia="zh-CN"/>
        </w:rPr>
        <w:t>各</w:t>
      </w:r>
      <w:r>
        <w:rPr>
          <w:rFonts w:hint="eastAsia" w:ascii="仿宋" w:hAnsi="仿宋" w:eastAsia="仿宋" w:cs="仿宋"/>
          <w:sz w:val="32"/>
          <w:szCs w:val="32"/>
        </w:rPr>
        <w:t>部门应提前制定下一年度项目实施计划和资金使用计划，细化资金测算过程，并按照“一下”控制数调整与更新资金测算依据，准确计算资金额度，提高预算申报准确性和合理性。</w:t>
      </w:r>
    </w:p>
    <w:p>
      <w:pPr>
        <w:pStyle w:val="2"/>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75633771"/>
      <w:bookmarkStart w:id="16" w:name="_Toc27000"/>
      <w:r>
        <w:rPr>
          <w:rFonts w:hint="eastAsia" w:ascii="仿宋" w:hAnsi="仿宋" w:eastAsia="仿宋" w:cs="仿宋"/>
          <w:b w:val="0"/>
          <w:bCs/>
        </w:rPr>
        <w:t>基本情况</w:t>
      </w:r>
      <w:bookmarkEnd w:id="15"/>
      <w:bookmarkEnd w:id="16"/>
      <w:bookmarkStart w:id="17" w:name="_Toc14165724"/>
      <w:bookmarkStart w:id="18" w:name="_Toc75633772"/>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20" w:name="_Toc3398"/>
      <w:bookmarkStart w:id="21" w:name="_Toc14165725"/>
      <w:bookmarkStart w:id="22" w:name="_Toc75633773"/>
      <w:r>
        <w:rPr>
          <w:rFonts w:hint="eastAsia" w:ascii="仿宋" w:hAnsi="仿宋" w:eastAsia="仿宋" w:cs="仿宋"/>
          <w:sz w:val="32"/>
          <w:szCs w:val="32"/>
          <w:lang w:val="en-US" w:eastAsia="zh-CN"/>
        </w:rPr>
        <w:t>1.《武汉市就读中专以上学校残疾学生和特困残疾人家庭子女学费补贴实施方案》（武残联【2012】21号）；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2.《关于为严重丧失生活自理能力的残疾人购买居家服务工作的意见》（武残联[2011]66号）；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3.《关于开展智力残疾人托养服务工作实施方案》；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4.《关于为一户双（多）残低保家庭提供居家护理补贴工作的意见》（武残联【2015】22号）；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5.《市人民政府关于印发武汉市城乡居民基本医疗保险实施办法的通知》（武政规[2017]24号）。</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lang w:eastAsia="zh-CN"/>
        </w:rPr>
      </w:pPr>
      <w:r>
        <w:rPr>
          <w:rFonts w:hint="eastAsia" w:ascii="仿宋" w:hAnsi="仿宋" w:eastAsia="仿宋"/>
          <w:sz w:val="32"/>
          <w:szCs w:val="32"/>
        </w:rPr>
        <w:t>为所有持证残疾人购买了群体意外伤害及补充医疗保险，将残疾人意外身故、疾病身故、意外伤害住院、疾病住院等纳入保险范围</w:t>
      </w:r>
      <w:r>
        <w:rPr>
          <w:rFonts w:hint="eastAsia" w:ascii="仿宋" w:hAnsi="仿宋" w:eastAsia="仿宋"/>
          <w:sz w:val="32"/>
          <w:szCs w:val="32"/>
          <w:lang w:eastAsia="zh-CN"/>
        </w:rPr>
        <w:t>。</w:t>
      </w:r>
      <w:r>
        <w:rPr>
          <w:rFonts w:hint="eastAsia" w:ascii="仿宋" w:hAnsi="仿宋" w:eastAsia="仿宋"/>
          <w:sz w:val="32"/>
          <w:szCs w:val="32"/>
        </w:rPr>
        <w:t>指导托养机构做好疫情防控工作，加强风险隐患排查和整治，在疫情期间采取封闭运营、线上服务代替线下服务等形式，确保了 “阳光家园”安全运营</w:t>
      </w:r>
      <w:r>
        <w:rPr>
          <w:rFonts w:hint="eastAsia" w:ascii="仿宋" w:hAnsi="仿宋" w:eastAsia="仿宋"/>
          <w:sz w:val="32"/>
          <w:szCs w:val="32"/>
          <w:lang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3" w:name="_Toc3522"/>
      <w:bookmarkStart w:id="24" w:name="_Toc14165726"/>
      <w:bookmarkStart w:id="25" w:name="_Toc75633774"/>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残疾人服务中心运行管理经费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140.00</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预算调整数276.19万元。 </w:t>
      </w:r>
      <w:r>
        <w:rPr>
          <w:rFonts w:hint="eastAsia" w:ascii="仿宋" w:hAnsi="仿宋" w:eastAsia="仿宋" w:cs="仿宋"/>
          <w:sz w:val="32"/>
          <w:szCs w:val="32"/>
        </w:rPr>
        <w:t>为</w:t>
      </w:r>
      <w:r>
        <w:rPr>
          <w:rFonts w:hint="eastAsia" w:ascii="仿宋" w:hAnsi="仿宋" w:eastAsia="仿宋" w:cs="仿宋"/>
          <w:sz w:val="32"/>
          <w:szCs w:val="32"/>
          <w:lang w:eastAsia="zh-CN"/>
        </w:rPr>
        <w:t>2022年</w:t>
      </w:r>
      <w:r>
        <w:rPr>
          <w:rFonts w:hint="eastAsia" w:ascii="仿宋" w:hAnsi="仿宋" w:eastAsia="仿宋" w:cs="仿宋"/>
          <w:sz w:val="32"/>
          <w:szCs w:val="32"/>
        </w:rPr>
        <w:t>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w:t>
      </w:r>
      <w:r>
        <w:rPr>
          <w:rFonts w:hint="eastAsia" w:ascii="仿宋" w:hAnsi="仿宋" w:eastAsia="仿宋" w:cs="仿宋"/>
          <w:sz w:val="32"/>
          <w:szCs w:val="32"/>
          <w:lang w:eastAsia="zh-CN"/>
        </w:rPr>
        <w:t>残疾人服务中心运行管理经费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276.19</w:t>
      </w:r>
      <w:r>
        <w:rPr>
          <w:rFonts w:hint="eastAsia" w:ascii="仿宋" w:hAnsi="仿宋" w:eastAsia="仿宋" w:cs="仿宋"/>
          <w:sz w:val="32"/>
          <w:szCs w:val="32"/>
        </w:rPr>
        <w:t>万元，实际支出为</w:t>
      </w:r>
      <w:r>
        <w:rPr>
          <w:rFonts w:hint="eastAsia" w:ascii="仿宋" w:hAnsi="仿宋" w:eastAsia="仿宋" w:cs="仿宋"/>
          <w:sz w:val="32"/>
          <w:szCs w:val="32"/>
          <w:lang w:eastAsia="zh-CN"/>
        </w:rPr>
        <w:t>58.96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资金使用率为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tbl>
      <w:tblPr>
        <w:tblStyle w:val="10"/>
        <w:tblW w:w="84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6"/>
        <w:gridCol w:w="2861"/>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预算项目</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经济科目</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3296" w:type="dxa"/>
            <w:tcBorders>
              <w:top w:val="single" w:color="000000" w:sz="4" w:space="0"/>
              <w:left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残疾人服务中心运行管理经费</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其他商品和服务支出</w:t>
            </w: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3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jc w:val="left"/>
              <w:rPr>
                <w:rFonts w:hint="eastAsia" w:ascii="仿宋" w:hAnsi="仿宋" w:eastAsia="仿宋" w:cs="仿宋"/>
                <w:sz w:val="32"/>
                <w:szCs w:val="32"/>
                <w:lang w:val="en-US" w:eastAsia="zh-CN"/>
              </w:rPr>
            </w:pPr>
          </w:p>
        </w:tc>
        <w:tc>
          <w:tcPr>
            <w:tcW w:w="2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8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58.96</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残疾人服务中心运行管理经费</w:t>
      </w:r>
      <w:r>
        <w:rPr>
          <w:rFonts w:hint="eastAsia" w:ascii="仿宋" w:hAnsi="仿宋" w:eastAsia="仿宋" w:cs="仿宋"/>
          <w:sz w:val="32"/>
          <w:szCs w:val="32"/>
          <w:lang w:val="en-US" w:eastAsia="zh-CN"/>
        </w:rPr>
        <w:t>”项目主要内容：用于物业管理服务、物资采购、第三方服务、互联网服务费及其他。</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按照《蔡甸区财政局关于开展2023年区级财政支出绩效评价工作的通知》蔡财〔2023〕1号中关于开展财政资金绩效自评工作的要求，积极开展绩效自评工作。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（一）绩效评价的方式包括现场评价和非现场评价方式。对2022年财政资金绩效评价采取现场评价的方式进行评价。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现场评价需要绩效评价项目小组到现场采取询问、观察、检查、复核等方式对评价项目的有关情况进行核实，对收集的资料进行整理和科学地分析，根据综合分析的结果得出评价结果，撰写评价报告。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2023年区级财政支出绩效评价工作的通知》蔡财〔2023〕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“残疾人服务中心运行管理经费”项目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绩效目标完成，</w:t>
      </w:r>
      <w:r>
        <w:rPr>
          <w:rFonts w:hint="eastAsia" w:ascii="仿宋" w:hAnsi="仿宋" w:eastAsia="仿宋" w:cs="仿宋"/>
          <w:sz w:val="32"/>
          <w:szCs w:val="32"/>
          <w:lang w:val="en-US" w:eastAsia="zh-CN"/>
        </w:rPr>
        <w:t>预算执行率100%，项目执行情况良好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2022年度残疾人服务中心运行管理经费项目自评表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单位名称：</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武汉市蔡甸区残疾人联合会</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 xml:space="preserve">         填报日期：2023年3月24</w:t>
      </w:r>
      <w:bookmarkStart w:id="29" w:name="_GoBack"/>
      <w:bookmarkEnd w:id="29"/>
      <w:r>
        <w:rPr>
          <w:rFonts w:hint="eastAsia" w:ascii="仿宋" w:hAnsi="仿宋" w:eastAsia="仿宋" w:cs="仿宋"/>
          <w:sz w:val="22"/>
          <w:szCs w:val="22"/>
          <w:lang w:val="en-US" w:eastAsia="zh-CN"/>
        </w:rPr>
        <w:t>日</w:t>
      </w:r>
      <w:r>
        <w:rPr>
          <w:rFonts w:hint="eastAsia" w:ascii="仿宋" w:hAnsi="仿宋" w:eastAsia="仿宋" w:cs="仿宋"/>
          <w:sz w:val="22"/>
          <w:szCs w:val="22"/>
          <w:lang w:val="en-US" w:eastAsia="zh-CN"/>
        </w:rPr>
        <w:tab/>
      </w:r>
    </w:p>
    <w:tbl>
      <w:tblPr>
        <w:tblStyle w:val="10"/>
        <w:tblW w:w="5723" w:type="pct"/>
        <w:tblInd w:w="-8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827"/>
        <w:gridCol w:w="911"/>
        <w:gridCol w:w="689"/>
        <w:gridCol w:w="648"/>
        <w:gridCol w:w="1379"/>
        <w:gridCol w:w="455"/>
        <w:gridCol w:w="1293"/>
        <w:gridCol w:w="962"/>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22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残疾人服务中心运行管理经费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主管部门</w:t>
            </w:r>
          </w:p>
        </w:tc>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武汉市蔡甸区残疾人联合会</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项目实施单位</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预算执行情况（万元）</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资金来源</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预算数（A）</w:t>
            </w:r>
          </w:p>
        </w:tc>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执行数（B）</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一般预算内拨款</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58.96 </w:t>
            </w:r>
          </w:p>
        </w:tc>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58.96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58.96 </w:t>
            </w:r>
          </w:p>
        </w:tc>
        <w:tc>
          <w:tcPr>
            <w:tcW w:w="11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58.96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年度绩效目标完成情况</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年初目标值</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实际完成值</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物业管理服务天数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365天</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365天</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电梯保养次数</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物资采购验收通过率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项目完成时间</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12月31日</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12月31日</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资金使用率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保障机关正常运转</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正常运转</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正常运转</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生态环境指标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办公环境得到改善</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项目经费有保障</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残疾人满意度</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备注：1.预算执行情况口径：预算数为调整后项目预算总额（包括上年结余结转），执行数为项目实际完成支出。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DB20F7"/>
    <w:rsid w:val="01D12314"/>
    <w:rsid w:val="01DD1E9F"/>
    <w:rsid w:val="02C848FD"/>
    <w:rsid w:val="02FB021D"/>
    <w:rsid w:val="04C946C0"/>
    <w:rsid w:val="05F640F9"/>
    <w:rsid w:val="06293905"/>
    <w:rsid w:val="070D0B30"/>
    <w:rsid w:val="09680BF5"/>
    <w:rsid w:val="0B071D3B"/>
    <w:rsid w:val="0C534BD4"/>
    <w:rsid w:val="0C655404"/>
    <w:rsid w:val="0D3A1F53"/>
    <w:rsid w:val="0D5F60AD"/>
    <w:rsid w:val="0E681446"/>
    <w:rsid w:val="0F41684C"/>
    <w:rsid w:val="0FFD0285"/>
    <w:rsid w:val="10FF2611"/>
    <w:rsid w:val="110023AD"/>
    <w:rsid w:val="119B45DC"/>
    <w:rsid w:val="11C97EA9"/>
    <w:rsid w:val="141C6AA3"/>
    <w:rsid w:val="146C5694"/>
    <w:rsid w:val="148C19C8"/>
    <w:rsid w:val="14C8078D"/>
    <w:rsid w:val="15121A08"/>
    <w:rsid w:val="16551BAC"/>
    <w:rsid w:val="16E15B36"/>
    <w:rsid w:val="16F874F3"/>
    <w:rsid w:val="18BB318B"/>
    <w:rsid w:val="1A2C356C"/>
    <w:rsid w:val="1C166716"/>
    <w:rsid w:val="1CA218C3"/>
    <w:rsid w:val="1CE96785"/>
    <w:rsid w:val="1DB3258E"/>
    <w:rsid w:val="1F1D51D6"/>
    <w:rsid w:val="1FAD4B9E"/>
    <w:rsid w:val="1FBD682C"/>
    <w:rsid w:val="1FC81815"/>
    <w:rsid w:val="20503FE2"/>
    <w:rsid w:val="20A65F67"/>
    <w:rsid w:val="222B739A"/>
    <w:rsid w:val="22386CFF"/>
    <w:rsid w:val="22AB12BB"/>
    <w:rsid w:val="231D1CA3"/>
    <w:rsid w:val="23F36750"/>
    <w:rsid w:val="253E3ECD"/>
    <w:rsid w:val="2560558E"/>
    <w:rsid w:val="265F25D3"/>
    <w:rsid w:val="281C4C87"/>
    <w:rsid w:val="288C2760"/>
    <w:rsid w:val="28B45DEB"/>
    <w:rsid w:val="294C6E3F"/>
    <w:rsid w:val="2A43616A"/>
    <w:rsid w:val="2AB736D7"/>
    <w:rsid w:val="2D40315E"/>
    <w:rsid w:val="2D636E4D"/>
    <w:rsid w:val="2DEE4968"/>
    <w:rsid w:val="2FA902CE"/>
    <w:rsid w:val="2FAD736C"/>
    <w:rsid w:val="30120F5C"/>
    <w:rsid w:val="31E85878"/>
    <w:rsid w:val="3219405C"/>
    <w:rsid w:val="324C7EAF"/>
    <w:rsid w:val="334D0383"/>
    <w:rsid w:val="33953AD8"/>
    <w:rsid w:val="33FB393B"/>
    <w:rsid w:val="351516AA"/>
    <w:rsid w:val="368340BC"/>
    <w:rsid w:val="370A4414"/>
    <w:rsid w:val="38691B7D"/>
    <w:rsid w:val="3AFC4BC0"/>
    <w:rsid w:val="3BB80364"/>
    <w:rsid w:val="3E234B49"/>
    <w:rsid w:val="3F2C6E75"/>
    <w:rsid w:val="3FCC0881"/>
    <w:rsid w:val="3FD35411"/>
    <w:rsid w:val="3FE37A8D"/>
    <w:rsid w:val="412C5A7C"/>
    <w:rsid w:val="416B7F86"/>
    <w:rsid w:val="41913B31"/>
    <w:rsid w:val="42C81E5B"/>
    <w:rsid w:val="42D65788"/>
    <w:rsid w:val="444F5357"/>
    <w:rsid w:val="459040FF"/>
    <w:rsid w:val="46031FE4"/>
    <w:rsid w:val="477041E8"/>
    <w:rsid w:val="477137B3"/>
    <w:rsid w:val="48BB1493"/>
    <w:rsid w:val="48BB5339"/>
    <w:rsid w:val="4A1470AD"/>
    <w:rsid w:val="4A6242BC"/>
    <w:rsid w:val="4B386DCB"/>
    <w:rsid w:val="4B775167"/>
    <w:rsid w:val="4BC602FA"/>
    <w:rsid w:val="4C8B65CE"/>
    <w:rsid w:val="4CA02D6C"/>
    <w:rsid w:val="4CB61310"/>
    <w:rsid w:val="4D622825"/>
    <w:rsid w:val="4D8B15DF"/>
    <w:rsid w:val="4DAE5A6A"/>
    <w:rsid w:val="4F813D71"/>
    <w:rsid w:val="500F00E3"/>
    <w:rsid w:val="50EC2B32"/>
    <w:rsid w:val="5105691F"/>
    <w:rsid w:val="51594625"/>
    <w:rsid w:val="52E42E4C"/>
    <w:rsid w:val="55982E86"/>
    <w:rsid w:val="56F22B59"/>
    <w:rsid w:val="576B32B2"/>
    <w:rsid w:val="57DA1F20"/>
    <w:rsid w:val="58003366"/>
    <w:rsid w:val="58F43202"/>
    <w:rsid w:val="59F76F17"/>
    <w:rsid w:val="5AE451B8"/>
    <w:rsid w:val="5DD60DF1"/>
    <w:rsid w:val="5E9A3A3E"/>
    <w:rsid w:val="5F1D4FFB"/>
    <w:rsid w:val="5FCC092D"/>
    <w:rsid w:val="606F2E37"/>
    <w:rsid w:val="614E0C9F"/>
    <w:rsid w:val="61510C2C"/>
    <w:rsid w:val="61994EFA"/>
    <w:rsid w:val="6388676C"/>
    <w:rsid w:val="64C51278"/>
    <w:rsid w:val="65A771A3"/>
    <w:rsid w:val="6622352C"/>
    <w:rsid w:val="67127C06"/>
    <w:rsid w:val="67FB2B15"/>
    <w:rsid w:val="68666B58"/>
    <w:rsid w:val="68727968"/>
    <w:rsid w:val="68BC1DAF"/>
    <w:rsid w:val="694C2E11"/>
    <w:rsid w:val="6A1A3E14"/>
    <w:rsid w:val="6A6425F4"/>
    <w:rsid w:val="6B0B56DA"/>
    <w:rsid w:val="6DE90B5F"/>
    <w:rsid w:val="6F0230C8"/>
    <w:rsid w:val="70A24B63"/>
    <w:rsid w:val="718A4220"/>
    <w:rsid w:val="71B73ED1"/>
    <w:rsid w:val="720E0702"/>
    <w:rsid w:val="722515A8"/>
    <w:rsid w:val="722F7ECD"/>
    <w:rsid w:val="72730565"/>
    <w:rsid w:val="737316EB"/>
    <w:rsid w:val="74341F76"/>
    <w:rsid w:val="75B726B5"/>
    <w:rsid w:val="76994E49"/>
    <w:rsid w:val="771245DB"/>
    <w:rsid w:val="7A602ED9"/>
    <w:rsid w:val="7B8A14E5"/>
    <w:rsid w:val="7BB83C85"/>
    <w:rsid w:val="7CE000AD"/>
    <w:rsid w:val="7CF76817"/>
    <w:rsid w:val="7DC53D98"/>
    <w:rsid w:val="7E3834E4"/>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0"/>
    <w:rPr>
      <w:b/>
    </w:rPr>
  </w:style>
  <w:style w:type="character" w:customStyle="1" w:styleId="14">
    <w:name w:val="标题 2 Char"/>
    <w:link w:val="3"/>
    <w:qFormat/>
    <w:uiPriority w:val="0"/>
    <w:rPr>
      <w:rFonts w:ascii="Arial" w:hAnsi="Arial" w:eastAsia="黑体"/>
      <w:b/>
      <w:sz w:val="32"/>
    </w:rPr>
  </w:style>
  <w:style w:type="paragraph" w:customStyle="1" w:styleId="15">
    <w:name w:val="WPSOffice手动目录 1"/>
    <w:qFormat/>
    <w:uiPriority w:val="0"/>
    <w:pPr>
      <w:ind w:leftChars="0"/>
    </w:pPr>
    <w:rPr>
      <w:rFonts w:ascii="Calibri" w:hAnsi="Calibri" w:eastAsia="宋体" w:cs="Calibri"/>
      <w:sz w:val="20"/>
      <w:szCs w:val="20"/>
    </w:rPr>
  </w:style>
  <w:style w:type="paragraph" w:customStyle="1" w:styleId="16">
    <w:name w:val="WPSOffice手动目录 2"/>
    <w:qFormat/>
    <w:uiPriority w:val="0"/>
    <w:pPr>
      <w:ind w:leftChars="200"/>
    </w:pPr>
    <w:rPr>
      <w:rFonts w:ascii="Calibri" w:hAnsi="Calibri" w:eastAsia="宋体" w:cs="Calibri"/>
      <w:sz w:val="20"/>
      <w:szCs w:val="20"/>
    </w:rPr>
  </w:style>
  <w:style w:type="paragraph" w:customStyle="1" w:styleId="17">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WPS_1655031587</cp:lastModifiedBy>
  <dcterms:modified xsi:type="dcterms:W3CDTF">2023-03-24T02:42:33Z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93F0D9EA72BA48F385BEFC08B52CF993</vt:lpwstr>
  </property>
</Properties>
</file>