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武汉市蔡甸区残疾人联合会</w:t>
      </w:r>
      <w:r>
        <w:rPr>
          <w:rFonts w:hint="eastAsia" w:ascii="仿宋" w:hAnsi="仿宋" w:eastAsia="仿宋" w:cs="仿宋"/>
          <w:sz w:val="44"/>
          <w:szCs w:val="44"/>
          <w:lang w:val="en-US" w:eastAsia="zh-CN"/>
        </w:rPr>
        <w:t>2022年</w:t>
      </w:r>
      <w:r>
        <w:rPr>
          <w:rFonts w:hint="eastAsia" w:ascii="仿宋" w:hAnsi="仿宋" w:eastAsia="仿宋" w:cs="仿宋"/>
          <w:sz w:val="44"/>
          <w:szCs w:val="44"/>
        </w:rPr>
        <w:t>度</w:t>
      </w: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lang w:eastAsia="zh-CN"/>
        </w:rPr>
        <w:t>基层残疾人文化活动经费项目</w:t>
      </w:r>
      <w:r>
        <w:rPr>
          <w:rFonts w:hint="eastAsia" w:ascii="仿宋" w:hAnsi="仿宋" w:eastAsia="仿宋" w:cs="仿宋"/>
          <w:sz w:val="44"/>
          <w:szCs w:val="44"/>
        </w:rPr>
        <w:t>自评结果</w:t>
      </w: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firstLine="787" w:firstLineChars="246"/>
        <w:jc w:val="left"/>
        <w:rPr>
          <w:rFonts w:hint="eastAsia" w:ascii="仿宋" w:hAnsi="仿宋" w:eastAsia="仿宋" w:cs="仿宋"/>
          <w:b w:val="0"/>
          <w:bCs w:val="0"/>
          <w:kern w:val="32"/>
          <w:sz w:val="32"/>
          <w:lang w:bidi="he-IL"/>
        </w:rPr>
      </w:pPr>
    </w:p>
    <w:p>
      <w:pPr>
        <w:widowControl/>
        <w:spacing w:line="480" w:lineRule="auto"/>
        <w:ind w:right="-168" w:rightChars="-80"/>
        <w:jc w:val="both"/>
        <w:rPr>
          <w:rFonts w:hint="eastAsia" w:ascii="仿宋" w:hAnsi="仿宋" w:eastAsia="仿宋" w:cs="仿宋"/>
          <w:b w:val="0"/>
          <w:bCs w:val="0"/>
          <w:kern w:val="32"/>
          <w:sz w:val="44"/>
          <w:szCs w:val="28"/>
          <w:lang w:eastAsia="zh-CN" w:bidi="he-IL"/>
        </w:rPr>
      </w:pPr>
      <w:r>
        <w:rPr>
          <w:rFonts w:hint="eastAsia" w:ascii="仿宋" w:hAnsi="仿宋" w:eastAsia="仿宋" w:cs="仿宋"/>
          <w:b w:val="0"/>
          <w:bCs w:val="0"/>
          <w:kern w:val="32"/>
          <w:sz w:val="44"/>
          <w:szCs w:val="28"/>
          <w:lang w:bidi="he-IL"/>
        </w:rPr>
        <w:t>项目名称</w:t>
      </w:r>
      <w:r>
        <w:rPr>
          <w:rFonts w:hint="eastAsia" w:ascii="仿宋" w:hAnsi="仿宋" w:eastAsia="仿宋" w:cs="仿宋"/>
          <w:b w:val="0"/>
          <w:bCs w:val="0"/>
          <w:kern w:val="32"/>
          <w:sz w:val="44"/>
          <w:szCs w:val="28"/>
          <w:lang w:eastAsia="zh-CN" w:bidi="he-IL"/>
        </w:rPr>
        <w:t>：基层残疾人文化活动经费</w:t>
      </w:r>
    </w:p>
    <w:p>
      <w:pPr>
        <w:widowControl/>
        <w:spacing w:line="480" w:lineRule="auto"/>
        <w:ind w:right="-168" w:rightChars="-80"/>
        <w:jc w:val="both"/>
        <w:rPr>
          <w:rFonts w:hint="eastAsia" w:ascii="仿宋" w:hAnsi="仿宋" w:eastAsia="仿宋" w:cs="仿宋"/>
          <w:b w:val="0"/>
          <w:bCs w:val="0"/>
          <w:sz w:val="44"/>
          <w:szCs w:val="44"/>
        </w:rPr>
      </w:pPr>
      <w:r>
        <w:rPr>
          <w:rFonts w:hint="eastAsia" w:ascii="仿宋" w:hAnsi="仿宋" w:eastAsia="仿宋" w:cs="仿宋"/>
          <w:b w:val="0"/>
          <w:bCs w:val="0"/>
          <w:kern w:val="32"/>
          <w:sz w:val="44"/>
          <w:szCs w:val="28"/>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主管部门：武汉市蔡甸区残疾人联合会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评价单位：武汉市蔡甸区残疾人联合会</w:t>
      </w:r>
    </w:p>
    <w:p>
      <w:pPr>
        <w:widowControl/>
        <w:jc w:val="both"/>
        <w:rPr>
          <w:rFonts w:hint="eastAsia" w:ascii="仿宋" w:hAnsi="仿宋" w:eastAsia="仿宋" w:cs="仿宋"/>
          <w:b/>
          <w:bCs/>
          <w:kern w:val="32"/>
          <w:sz w:val="44"/>
          <w:szCs w:val="28"/>
          <w:lang w:bidi="he-IL"/>
        </w:rPr>
      </w:pPr>
    </w:p>
    <w:p>
      <w:pPr>
        <w:widowControl/>
        <w:jc w:val="center"/>
        <w:rPr>
          <w:rFonts w:hint="eastAsia" w:ascii="仿宋" w:hAnsi="仿宋" w:eastAsia="仿宋" w:cs="仿宋"/>
          <w:b w:val="0"/>
          <w:bCs w:val="0"/>
          <w:kern w:val="32"/>
          <w:sz w:val="44"/>
          <w:szCs w:val="28"/>
          <w:lang w:val="en-US" w:eastAsia="zh-CN" w:bidi="he-IL"/>
        </w:rPr>
      </w:pPr>
      <w:r>
        <w:rPr>
          <w:rFonts w:hint="eastAsia" w:ascii="仿宋" w:hAnsi="仿宋" w:eastAsia="仿宋" w:cs="仿宋"/>
          <w:b w:val="0"/>
          <w:bCs w:val="0"/>
          <w:kern w:val="32"/>
          <w:sz w:val="44"/>
          <w:szCs w:val="28"/>
          <w:lang w:val="en-US" w:eastAsia="zh-CN" w:bidi="he-IL"/>
        </w:rPr>
        <w:t>2023年3月</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sdt>
      <w:sdtPr>
        <w:rPr>
          <w:rFonts w:hint="eastAsia" w:ascii="仿宋" w:hAnsi="仿宋" w:eastAsia="仿宋" w:cs="仿宋"/>
          <w:kern w:val="2"/>
          <w:sz w:val="28"/>
          <w:szCs w:val="28"/>
          <w:lang w:val="en-US" w:eastAsia="zh-CN" w:bidi="ar-SA"/>
        </w:rPr>
        <w:id w:val="147480206"/>
        <w15:color w:val="DBDBDB"/>
        <w:docPartObj>
          <w:docPartGallery w:val="Table of Contents"/>
          <w:docPartUnique/>
        </w:docPartObj>
      </w:sdtPr>
      <w:sdtEndPr>
        <w:rPr>
          <w:rFonts w:hint="eastAsia" w:ascii="仿宋" w:hAnsi="仿宋" w:eastAsia="仿宋" w:cs="仿宋"/>
          <w:kern w:val="2"/>
          <w:sz w:val="22"/>
          <w:szCs w:val="4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_Toc27767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、绩效目标完成情况</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_Toc27767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1</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_Toc7730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1.执行率情况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_Toc7730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_Toc2268 </w:instrText>
          </w:r>
          <w:r>
            <w:rPr>
              <w:rFonts w:hint="eastAsia" w:ascii="仿宋" w:hAnsi="仿宋" w:eastAsia="仿宋" w:cs="仿宋"/>
              <w:sz w:val="22"/>
              <w:szCs w:val="24"/>
            </w:rPr>
            <w:fldChar w:fldCharType="separate"/>
          </w:r>
          <w:r>
            <w:rPr>
              <w:rFonts w:hint="eastAsia" w:ascii="仿宋" w:hAnsi="仿宋" w:eastAsia="仿宋" w:cs="仿宋"/>
              <w:bCs w:val="0"/>
              <w:sz w:val="22"/>
              <w:szCs w:val="22"/>
              <w:lang w:val="en-US" w:eastAsia="zh-CN"/>
            </w:rPr>
            <w:t>2.</w:t>
          </w:r>
          <w:r>
            <w:rPr>
              <w:rFonts w:hint="eastAsia" w:ascii="仿宋" w:hAnsi="仿宋" w:eastAsia="仿宋" w:cs="仿宋"/>
              <w:bCs w:val="0"/>
              <w:sz w:val="22"/>
              <w:szCs w:val="22"/>
            </w:rPr>
            <w:t>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_Toc2268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_Toc14010 </w:instrText>
          </w:r>
          <w:r>
            <w:rPr>
              <w:rFonts w:hint="eastAsia" w:ascii="仿宋" w:hAnsi="仿宋" w:eastAsia="仿宋" w:cs="仿宋"/>
              <w:sz w:val="22"/>
              <w:szCs w:val="24"/>
            </w:rPr>
            <w:fldChar w:fldCharType="separate"/>
          </w:r>
          <w:r>
            <w:rPr>
              <w:rFonts w:hint="eastAsia" w:ascii="仿宋" w:hAnsi="仿宋" w:eastAsia="仿宋" w:cs="仿宋"/>
              <w:sz w:val="22"/>
              <w:szCs w:val="22"/>
              <w:lang w:val="en-US" w:eastAsia="zh-CN"/>
            </w:rPr>
            <w:t>3.</w:t>
          </w:r>
          <w:r>
            <w:rPr>
              <w:rFonts w:hint="eastAsia" w:ascii="仿宋" w:hAnsi="仿宋" w:eastAsia="仿宋" w:cs="仿宋"/>
              <w:sz w:val="22"/>
              <w:szCs w:val="22"/>
            </w:rPr>
            <w:t>未完成的绩效目标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_Toc14010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_Toc23362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二、绩效目标完成情况分析</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_Toc23362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2</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_Toc15413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1.预算执行情况分析（包括完成情况和偏离原因等）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_Toc15413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_Toc25321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2.绩效目标完成情况分析（包括完成情况和偏离原因等）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_Toc25321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_Toc12948 </w:instrText>
          </w:r>
          <w:r>
            <w:rPr>
              <w:rFonts w:hint="eastAsia" w:ascii="仿宋" w:hAnsi="仿宋" w:eastAsia="仿宋" w:cs="仿宋"/>
              <w:sz w:val="22"/>
              <w:szCs w:val="24"/>
            </w:rPr>
            <w:fldChar w:fldCharType="separate"/>
          </w:r>
          <w:r>
            <w:rPr>
              <w:rFonts w:hint="eastAsia" w:ascii="仿宋" w:hAnsi="仿宋" w:eastAsia="仿宋" w:cs="仿宋"/>
              <w:bCs/>
              <w:sz w:val="22"/>
              <w:szCs w:val="22"/>
            </w:rPr>
            <w:t>（1）产出指标完成情况分析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_Toc12948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_Toc22253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rPr>
            <w:t>）</w:t>
          </w:r>
          <w:r>
            <w:rPr>
              <w:rFonts w:hint="eastAsia" w:ascii="仿宋" w:hAnsi="仿宋" w:eastAsia="仿宋" w:cs="仿宋"/>
              <w:bCs w:val="0"/>
              <w:sz w:val="22"/>
              <w:szCs w:val="22"/>
            </w:rPr>
            <w:t>效益指标完成情况分析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_Toc22253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_Toc21447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rPr>
            <w:t>）满意度指标完成情况分析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_Toc21447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_Toc29620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三、存在的问题和原因</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_Toc29620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8"/>
            <w:tabs>
              <w:tab w:val="right" w:leader="dot" w:pos="8306"/>
            </w:tabs>
            <w:spacing w:line="360" w:lineRule="auto"/>
            <w:rPr>
              <w:rFonts w:hint="eastAsia" w:ascii="仿宋" w:hAnsi="仿宋" w:eastAsia="仿宋" w:cs="仿宋"/>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_Toc5103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四、下一步拟改进措施</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_Toc5103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5</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_Toc10473 </w:instrText>
          </w:r>
          <w:r>
            <w:rPr>
              <w:rFonts w:hint="eastAsia" w:ascii="仿宋" w:hAnsi="仿宋" w:eastAsia="仿宋" w:cs="仿宋"/>
              <w:sz w:val="22"/>
              <w:szCs w:val="24"/>
            </w:rPr>
            <w:fldChar w:fldCharType="separate"/>
          </w:r>
          <w:r>
            <w:rPr>
              <w:rFonts w:hint="eastAsia" w:ascii="仿宋" w:hAnsi="仿宋" w:eastAsia="仿宋" w:cs="仿宋"/>
              <w:bCs/>
              <w:sz w:val="22"/>
              <w:szCs w:val="22"/>
            </w:rPr>
            <w:t>1.下一步拟改进措施，包括项目整改和绩效目标调整完善等相关内容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_Toc10473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_Toc26603 </w:instrText>
          </w:r>
          <w:r>
            <w:rPr>
              <w:rFonts w:hint="eastAsia" w:ascii="仿宋" w:hAnsi="仿宋" w:eastAsia="仿宋" w:cs="仿宋"/>
              <w:sz w:val="22"/>
              <w:szCs w:val="24"/>
            </w:rPr>
            <w:fldChar w:fldCharType="separate"/>
          </w:r>
          <w:r>
            <w:rPr>
              <w:rFonts w:hint="eastAsia" w:ascii="仿宋" w:hAnsi="仿宋" w:eastAsia="仿宋" w:cs="仿宋"/>
              <w:sz w:val="22"/>
              <w:szCs w:val="36"/>
            </w:rPr>
            <w:t xml:space="preserve">2. </w:t>
          </w:r>
          <w:r>
            <w:rPr>
              <w:rFonts w:hint="eastAsia" w:ascii="仿宋" w:hAnsi="仿宋" w:eastAsia="仿宋" w:cs="仿宋"/>
              <w:bCs/>
              <w:sz w:val="22"/>
              <w:szCs w:val="22"/>
            </w:rPr>
            <w:t>与预算安排相结合情况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_Toc26603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_Toc21576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五、评价结果</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_Toc21576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6</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_Toc27000 </w:instrText>
          </w:r>
          <w:r>
            <w:rPr>
              <w:rFonts w:hint="eastAsia" w:ascii="仿宋" w:hAnsi="仿宋" w:eastAsia="仿宋" w:cs="仿宋"/>
              <w:sz w:val="22"/>
              <w:szCs w:val="24"/>
            </w:rPr>
            <w:fldChar w:fldCharType="separate"/>
          </w:r>
          <w:r>
            <w:rPr>
              <w:rFonts w:hint="eastAsia" w:ascii="仿宋" w:hAnsi="仿宋" w:eastAsia="仿宋" w:cs="仿宋"/>
              <w:bCs/>
              <w:sz w:val="22"/>
              <w:szCs w:val="22"/>
            </w:rPr>
            <w:t>（一） 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_Toc27000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_Toc22466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1</w:t>
          </w:r>
          <w:r>
            <w:rPr>
              <w:rFonts w:hint="eastAsia" w:ascii="仿宋" w:hAnsi="仿宋" w:eastAsia="仿宋" w:cs="仿宋"/>
              <w:bCs/>
              <w:sz w:val="22"/>
              <w:szCs w:val="22"/>
              <w:lang w:eastAsia="zh-CN"/>
            </w:rPr>
            <w:t>）</w:t>
          </w:r>
          <w:r>
            <w:rPr>
              <w:rFonts w:hint="eastAsia" w:ascii="仿宋" w:hAnsi="仿宋" w:eastAsia="仿宋" w:cs="仿宋"/>
              <w:bCs/>
              <w:sz w:val="22"/>
              <w:szCs w:val="22"/>
            </w:rPr>
            <w:t>项目立项背景和依据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_Toc22466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_Toc3398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lang w:eastAsia="zh-CN"/>
            </w:rPr>
            <w:t>）项目绩效目标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_Toc3398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_Toc3522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lang w:eastAsia="zh-CN"/>
            </w:rPr>
            <w:t>）项目经费来源和使用情况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_Toc3522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_Toc680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w:t>
          </w:r>
          <w:r>
            <w:rPr>
              <w:rFonts w:hint="eastAsia" w:ascii="仿宋" w:hAnsi="仿宋" w:eastAsia="仿宋" w:cs="仿宋"/>
              <w:bCs/>
              <w:sz w:val="22"/>
              <w:szCs w:val="22"/>
              <w:lang w:eastAsia="zh-CN"/>
            </w:rPr>
            <w:t>）项目实施情况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_Toc680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_Toc29849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（二）部门自评工作开展情况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_Toc29849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0"/>
              <w:szCs w:val="20"/>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_Toc20937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（三）绩效评价结果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_Toc20937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2"/>
              <w:szCs w:val="4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0"/>
              <w:szCs w:val="21"/>
            </w:rPr>
            <w:fldChar w:fldCharType="end"/>
          </w:r>
        </w:p>
      </w:sdtContent>
    </w:sdt>
    <w:p>
      <w:pPr>
        <w:rPr>
          <w:rFonts w:hint="eastAsia" w:ascii="仿宋" w:hAnsi="仿宋" w:eastAsia="仿宋" w:cs="仿宋"/>
          <w:lang w:val="en-US" w:eastAsia="zh-CN"/>
        </w:rPr>
      </w:pPr>
    </w:p>
    <w:p>
      <w:pPr>
        <w:pStyle w:val="2"/>
        <w:bidi w:val="0"/>
        <w:rPr>
          <w:rFonts w:hint="eastAsia" w:ascii="仿宋" w:hAnsi="仿宋" w:eastAsia="仿宋" w:cs="仿宋"/>
        </w:rPr>
      </w:pPr>
      <w:bookmarkStart w:id="0" w:name="_Toc27767"/>
      <w:r>
        <w:rPr>
          <w:rFonts w:hint="eastAsia" w:ascii="仿宋" w:hAnsi="仿宋" w:eastAsia="仿宋" w:cs="仿宋"/>
          <w:lang w:val="en-US" w:eastAsia="zh-CN"/>
        </w:rPr>
        <w:t>一</w:t>
      </w:r>
      <w:r>
        <w:rPr>
          <w:rFonts w:hint="eastAsia" w:ascii="仿宋" w:hAnsi="仿宋" w:eastAsia="仿宋" w:cs="仿宋"/>
        </w:rPr>
        <w:t>、绩效目标完成情况</w:t>
      </w:r>
      <w:bookmarkEnd w:id="0"/>
    </w:p>
    <w:p>
      <w:pPr>
        <w:pStyle w:val="3"/>
        <w:bidi w:val="0"/>
        <w:jc w:val="left"/>
        <w:rPr>
          <w:rFonts w:hint="eastAsia" w:ascii="仿宋" w:hAnsi="仿宋" w:eastAsia="仿宋" w:cs="仿宋"/>
          <w:b/>
          <w:bCs w:val="0"/>
        </w:rPr>
      </w:pPr>
      <w:bookmarkStart w:id="1" w:name="_Toc7730"/>
      <w:r>
        <w:rPr>
          <w:rFonts w:hint="eastAsia" w:ascii="仿宋" w:hAnsi="仿宋" w:eastAsia="仿宋" w:cs="仿宋"/>
          <w:b/>
          <w:bCs w:val="0"/>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基层残疾人文化活动经费</w:t>
      </w:r>
      <w:r>
        <w:rPr>
          <w:rFonts w:hint="eastAsia" w:ascii="仿宋" w:hAnsi="仿宋" w:eastAsia="仿宋" w:cs="仿宋"/>
          <w:sz w:val="32"/>
          <w:szCs w:val="32"/>
        </w:rPr>
        <w:t>”项目为持续性、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w:t>
      </w:r>
      <w:r>
        <w:rPr>
          <w:rFonts w:hint="eastAsia" w:ascii="仿宋" w:hAnsi="仿宋" w:eastAsia="仿宋" w:cs="仿宋"/>
          <w:sz w:val="32"/>
          <w:szCs w:val="32"/>
          <w:lang w:val="en-US" w:eastAsia="zh-CN"/>
        </w:rPr>
        <w:t>年初预算资金20.00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资金全部到位。“</w:t>
      </w:r>
      <w:r>
        <w:rPr>
          <w:rFonts w:hint="eastAsia" w:ascii="仿宋" w:hAnsi="仿宋" w:eastAsia="仿宋" w:cs="仿宋"/>
          <w:sz w:val="32"/>
          <w:szCs w:val="32"/>
          <w:lang w:eastAsia="zh-CN"/>
        </w:rPr>
        <w:t>基层残疾人文化活动经费</w:t>
      </w:r>
      <w:r>
        <w:rPr>
          <w:rFonts w:hint="eastAsia" w:ascii="仿宋" w:hAnsi="仿宋" w:eastAsia="仿宋" w:cs="仿宋"/>
          <w:sz w:val="32"/>
          <w:szCs w:val="32"/>
        </w:rPr>
        <w:t>”实际支出</w:t>
      </w:r>
      <w:r>
        <w:rPr>
          <w:rFonts w:hint="eastAsia" w:ascii="仿宋" w:hAnsi="仿宋" w:eastAsia="仿宋" w:cs="仿宋"/>
          <w:sz w:val="32"/>
          <w:szCs w:val="32"/>
          <w:lang w:val="en-US" w:eastAsia="zh-CN"/>
        </w:rPr>
        <w:t>10.75</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53.75%</w:t>
      </w:r>
      <w:r>
        <w:rPr>
          <w:rFonts w:hint="eastAsia" w:ascii="仿宋" w:hAnsi="仿宋" w:eastAsia="仿宋" w:cs="仿宋"/>
          <w:sz w:val="32"/>
          <w:szCs w:val="32"/>
        </w:rPr>
        <w:t>。</w:t>
      </w:r>
    </w:p>
    <w:p>
      <w:pPr>
        <w:pStyle w:val="3"/>
        <w:numPr>
          <w:ilvl w:val="0"/>
          <w:numId w:val="0"/>
        </w:numPr>
        <w:bidi w:val="0"/>
        <w:jc w:val="left"/>
        <w:rPr>
          <w:rFonts w:hint="eastAsia" w:ascii="仿宋" w:hAnsi="仿宋" w:eastAsia="仿宋" w:cs="仿宋"/>
          <w:b/>
          <w:bCs w:val="0"/>
        </w:rPr>
      </w:pPr>
      <w:bookmarkStart w:id="2" w:name="_Toc2268"/>
      <w:r>
        <w:rPr>
          <w:rFonts w:hint="eastAsia" w:ascii="仿宋" w:hAnsi="仿宋" w:eastAsia="仿宋" w:cs="仿宋"/>
          <w:b/>
          <w:bCs w:val="0"/>
          <w:lang w:val="en-US" w:eastAsia="zh-CN"/>
        </w:rPr>
        <w:t>2.</w:t>
      </w:r>
      <w:r>
        <w:rPr>
          <w:rFonts w:hint="eastAsia" w:ascii="仿宋" w:hAnsi="仿宋" w:eastAsia="仿宋" w:cs="仿宋"/>
          <w:b/>
          <w:bCs w:val="0"/>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年“基层残疾人文化活动经费项目”共设置8个绩效目标，完成7个。完成绩效目标分别是：①普法宣传2场②残疾人文体活动举办达标率100%③资金拨付及时率100%④项目完成时间与12月31日前⑤引导广大残疾人积极参与社会生活⑥残疾人政策持续有效⑦残联帮扶对象对项目的满意度90%。</w:t>
      </w:r>
    </w:p>
    <w:p>
      <w:pPr>
        <w:pStyle w:val="3"/>
        <w:numPr>
          <w:ilvl w:val="0"/>
          <w:numId w:val="0"/>
        </w:numPr>
        <w:bidi w:val="0"/>
        <w:rPr>
          <w:rFonts w:hint="eastAsia" w:ascii="仿宋" w:hAnsi="仿宋" w:eastAsia="仿宋" w:cs="仿宋"/>
        </w:rPr>
      </w:pPr>
      <w:bookmarkStart w:id="3" w:name="_Toc14010"/>
      <w:r>
        <w:rPr>
          <w:rFonts w:hint="eastAsia" w:ascii="仿宋" w:hAnsi="仿宋" w:eastAsia="仿宋" w:cs="仿宋"/>
          <w:lang w:val="en-US" w:eastAsia="zh-CN"/>
        </w:rPr>
        <w:t>3.</w:t>
      </w:r>
      <w:r>
        <w:rPr>
          <w:rFonts w:hint="eastAsia" w:ascii="仿宋" w:hAnsi="仿宋" w:eastAsia="仿宋" w:cs="仿宋"/>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开展残疾人文体活动次数，年初目标5场，实际完成3场。偏差原因主要是受疫情影响，人员减少聚集，部分项目未开展。</w:t>
      </w:r>
    </w:p>
    <w:p>
      <w:pPr>
        <w:pStyle w:val="2"/>
        <w:bidi w:val="0"/>
        <w:rPr>
          <w:rFonts w:hint="eastAsia" w:ascii="仿宋" w:hAnsi="仿宋" w:eastAsia="仿宋" w:cs="仿宋"/>
          <w:lang w:val="en-US" w:eastAsia="zh-CN"/>
        </w:rPr>
      </w:pPr>
      <w:bookmarkStart w:id="4" w:name="_Toc23362"/>
      <w:r>
        <w:rPr>
          <w:rFonts w:hint="eastAsia" w:ascii="仿宋" w:hAnsi="仿宋" w:eastAsia="仿宋" w:cs="仿宋"/>
          <w:lang w:val="en-US" w:eastAsia="zh-CN"/>
        </w:rPr>
        <w:t>二、绩效目标完成情况分析</w:t>
      </w:r>
      <w:bookmarkEnd w:id="4"/>
    </w:p>
    <w:p>
      <w:pPr>
        <w:pStyle w:val="3"/>
        <w:bidi w:val="0"/>
        <w:jc w:val="left"/>
        <w:rPr>
          <w:rFonts w:hint="eastAsia" w:ascii="仿宋" w:hAnsi="仿宋" w:eastAsia="仿宋" w:cs="仿宋"/>
          <w:b/>
          <w:bCs w:val="0"/>
        </w:rPr>
      </w:pPr>
      <w:bookmarkStart w:id="5" w:name="_Toc15413"/>
      <w:r>
        <w:rPr>
          <w:rFonts w:hint="eastAsia" w:ascii="仿宋" w:hAnsi="仿宋" w:eastAsia="仿宋" w:cs="仿宋"/>
          <w:b/>
          <w:bCs w:val="0"/>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val="0"/>
          <w:bCs/>
          <w:sz w:val="32"/>
          <w:szCs w:val="32"/>
          <w:lang w:val="en-US" w:eastAsia="zh-CN"/>
        </w:rPr>
        <w:t>基层残疾人文化活动经费项目</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年初预算</w:t>
      </w:r>
      <w:r>
        <w:rPr>
          <w:rFonts w:hint="eastAsia" w:ascii="仿宋" w:hAnsi="仿宋" w:eastAsia="仿宋" w:cs="仿宋"/>
          <w:sz w:val="32"/>
          <w:szCs w:val="32"/>
          <w:lang w:val="en-US" w:eastAsia="zh-CN"/>
        </w:rPr>
        <w:t>20.00</w:t>
      </w:r>
      <w:r>
        <w:rPr>
          <w:rFonts w:hint="eastAsia" w:ascii="仿宋" w:hAnsi="仿宋" w:eastAsia="仿宋" w:cs="仿宋"/>
          <w:sz w:val="32"/>
          <w:szCs w:val="32"/>
        </w:rPr>
        <w:t>万元</w:t>
      </w:r>
      <w:r>
        <w:rPr>
          <w:rFonts w:hint="eastAsia" w:ascii="仿宋" w:hAnsi="仿宋" w:eastAsia="仿宋" w:cs="仿宋"/>
          <w:sz w:val="32"/>
          <w:szCs w:val="32"/>
          <w:lang w:val="en-US" w:eastAsia="zh-CN"/>
        </w:rPr>
        <w:t>，实际</w:t>
      </w:r>
      <w:r>
        <w:rPr>
          <w:rFonts w:hint="eastAsia" w:ascii="仿宋" w:hAnsi="仿宋" w:eastAsia="仿宋" w:cs="仿宋"/>
          <w:sz w:val="32"/>
          <w:szCs w:val="32"/>
        </w:rPr>
        <w:t>支出金额</w:t>
      </w:r>
      <w:r>
        <w:rPr>
          <w:rFonts w:hint="eastAsia" w:ascii="仿宋" w:hAnsi="仿宋" w:eastAsia="仿宋" w:cs="仿宋"/>
          <w:sz w:val="32"/>
          <w:szCs w:val="32"/>
          <w:lang w:val="en-US" w:eastAsia="zh-CN"/>
        </w:rPr>
        <w:t>10.75</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53.75%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sz w:val="32"/>
          <w:szCs w:val="32"/>
          <w:lang w:val="en-US" w:eastAsia="zh-CN"/>
        </w:rPr>
        <w:t>偏差原因主要是受疫情影响，人员减少聚集，部分项目未开展。</w:t>
      </w:r>
    </w:p>
    <w:p>
      <w:pPr>
        <w:pStyle w:val="3"/>
        <w:bidi w:val="0"/>
        <w:jc w:val="left"/>
        <w:rPr>
          <w:rFonts w:hint="eastAsia" w:ascii="仿宋" w:hAnsi="仿宋" w:eastAsia="仿宋" w:cs="仿宋"/>
          <w:b/>
          <w:bCs w:val="0"/>
        </w:rPr>
      </w:pPr>
      <w:bookmarkStart w:id="6" w:name="_Toc25321"/>
      <w:r>
        <w:rPr>
          <w:rFonts w:hint="eastAsia" w:ascii="仿宋" w:hAnsi="仿宋" w:eastAsia="仿宋" w:cs="仿宋"/>
          <w:b/>
          <w:bCs w:val="0"/>
        </w:rPr>
        <w:t>2.绩效目标完成情况分析（包括完成情况和偏离原因等）</w:t>
      </w:r>
      <w:bookmarkEnd w:id="6"/>
    </w:p>
    <w:p>
      <w:pPr>
        <w:pStyle w:val="4"/>
        <w:bidi w:val="0"/>
        <w:jc w:val="left"/>
        <w:rPr>
          <w:rFonts w:hint="eastAsia" w:ascii="仿宋" w:hAnsi="仿宋" w:eastAsia="仿宋" w:cs="仿宋"/>
          <w:b w:val="0"/>
          <w:bCs/>
          <w:sz w:val="32"/>
          <w:szCs w:val="32"/>
          <w:lang w:val="en-US" w:eastAsia="zh-CN"/>
        </w:rPr>
      </w:pPr>
      <w:bookmarkStart w:id="7" w:name="_Toc12948"/>
      <w:r>
        <w:rPr>
          <w:rFonts w:hint="eastAsia" w:ascii="仿宋" w:hAnsi="仿宋" w:eastAsia="仿宋" w:cs="仿宋"/>
          <w:b w:val="0"/>
          <w:bCs/>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产出指标主要从普法宣传</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开展残疾人文体活动次数</w:t>
      </w:r>
      <w:r>
        <w:rPr>
          <w:rFonts w:hint="eastAsia" w:ascii="仿宋" w:hAnsi="仿宋" w:eastAsia="仿宋" w:cs="仿宋"/>
          <w:sz w:val="32"/>
          <w:szCs w:val="32"/>
          <w:lang w:eastAsia="zh-CN"/>
        </w:rPr>
        <w:t>、</w:t>
      </w:r>
      <w:r>
        <w:rPr>
          <w:rFonts w:hint="eastAsia" w:ascii="仿宋" w:hAnsi="仿宋" w:eastAsia="仿宋" w:cs="仿宋"/>
          <w:sz w:val="32"/>
          <w:szCs w:val="32"/>
        </w:rPr>
        <w:t>残疾人文体活动举办达标率</w:t>
      </w:r>
      <w:r>
        <w:rPr>
          <w:rFonts w:hint="eastAsia" w:ascii="仿宋" w:hAnsi="仿宋" w:eastAsia="仿宋" w:cs="仿宋"/>
          <w:sz w:val="32"/>
          <w:szCs w:val="32"/>
          <w:lang w:eastAsia="zh-CN"/>
        </w:rPr>
        <w:t>、</w:t>
      </w:r>
      <w:r>
        <w:rPr>
          <w:rFonts w:hint="eastAsia" w:ascii="仿宋" w:hAnsi="仿宋" w:eastAsia="仿宋" w:cs="仿宋"/>
          <w:sz w:val="32"/>
          <w:szCs w:val="32"/>
        </w:rPr>
        <w:t>资金拨付及时率</w:t>
      </w:r>
      <w:r>
        <w:rPr>
          <w:rFonts w:hint="eastAsia" w:ascii="仿宋" w:hAnsi="仿宋" w:eastAsia="仿宋" w:cs="仿宋"/>
          <w:sz w:val="32"/>
          <w:szCs w:val="32"/>
          <w:lang w:eastAsia="zh-CN"/>
        </w:rPr>
        <w:t>、</w:t>
      </w:r>
      <w:r>
        <w:rPr>
          <w:rFonts w:hint="eastAsia" w:ascii="仿宋" w:hAnsi="仿宋" w:eastAsia="仿宋" w:cs="仿宋"/>
          <w:sz w:val="32"/>
          <w:szCs w:val="32"/>
        </w:rPr>
        <w:t>项目完成时间</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引导广大残疾人积极参与社会生活</w:t>
      </w:r>
      <w:r>
        <w:rPr>
          <w:rFonts w:hint="eastAsia" w:ascii="仿宋" w:hAnsi="仿宋" w:eastAsia="仿宋" w:cs="仿宋"/>
          <w:sz w:val="32"/>
          <w:szCs w:val="32"/>
          <w:lang w:eastAsia="zh-CN"/>
        </w:rPr>
        <w:t>、</w:t>
      </w:r>
      <w:r>
        <w:rPr>
          <w:rFonts w:hint="eastAsia" w:ascii="仿宋" w:hAnsi="仿宋" w:eastAsia="仿宋" w:cs="仿宋"/>
          <w:sz w:val="32"/>
          <w:szCs w:val="32"/>
        </w:rPr>
        <w:t>残疾人政策持续有效</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残联帮扶对象对项目的满意度</w:t>
      </w:r>
      <w:r>
        <w:rPr>
          <w:rFonts w:hint="eastAsia" w:ascii="仿宋" w:hAnsi="仿宋" w:eastAsia="仿宋" w:cs="仿宋"/>
          <w:sz w:val="32"/>
          <w:szCs w:val="32"/>
        </w:rPr>
        <w:tab/>
      </w:r>
      <w:r>
        <w:rPr>
          <w:rFonts w:hint="eastAsia" w:ascii="仿宋" w:hAnsi="仿宋" w:eastAsia="仿宋" w:cs="仿宋"/>
          <w:b w:val="0"/>
          <w:bCs/>
          <w:sz w:val="32"/>
          <w:szCs w:val="32"/>
          <w:lang w:val="en-US" w:eastAsia="zh-CN"/>
        </w:rPr>
        <w:t>等</w:t>
      </w:r>
      <w:r>
        <w:rPr>
          <w:rFonts w:hint="eastAsia" w:ascii="仿宋" w:hAnsi="仿宋" w:eastAsia="仿宋" w:cs="仿宋"/>
          <w:sz w:val="32"/>
          <w:szCs w:val="32"/>
        </w:rPr>
        <w:t>这</w:t>
      </w:r>
      <w:r>
        <w:rPr>
          <w:rFonts w:hint="eastAsia" w:ascii="仿宋" w:hAnsi="仿宋" w:eastAsia="仿宋" w:cs="仿宋"/>
          <w:sz w:val="32"/>
          <w:szCs w:val="32"/>
          <w:lang w:val="en-US" w:eastAsia="zh-CN"/>
        </w:rPr>
        <w:t>八</w:t>
      </w:r>
      <w:r>
        <w:rPr>
          <w:rFonts w:hint="eastAsia" w:ascii="仿宋" w:hAnsi="仿宋" w:eastAsia="仿宋" w:cs="仿宋"/>
          <w:sz w:val="32"/>
          <w:szCs w:val="32"/>
        </w:rPr>
        <w:t>个方面来进行评价。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普法宣传，指项目实施</w:t>
      </w:r>
      <w:r>
        <w:rPr>
          <w:rFonts w:hint="eastAsia" w:ascii="仿宋" w:hAnsi="仿宋" w:eastAsia="仿宋" w:cs="仿宋"/>
          <w:sz w:val="32"/>
          <w:szCs w:val="32"/>
          <w:lang w:val="en-US" w:eastAsia="zh-CN"/>
        </w:rPr>
        <w:t>普法宣传完成场次</w:t>
      </w:r>
      <w:r>
        <w:rPr>
          <w:rFonts w:hint="eastAsia" w:ascii="仿宋" w:hAnsi="仿宋" w:eastAsia="仿宋" w:cs="仿宋"/>
          <w:sz w:val="32"/>
          <w:szCs w:val="32"/>
        </w:rPr>
        <w:t>，用以反映和考核项目产出数量目标的实现程度。年初</w:t>
      </w:r>
      <w:r>
        <w:rPr>
          <w:rFonts w:hint="eastAsia" w:ascii="仿宋" w:hAnsi="仿宋" w:eastAsia="仿宋" w:cs="仿宋"/>
          <w:sz w:val="32"/>
          <w:szCs w:val="32"/>
          <w:lang w:val="en-US" w:eastAsia="zh-CN"/>
        </w:rPr>
        <w:t>目标值1场</w:t>
      </w:r>
      <w:r>
        <w:rPr>
          <w:rFonts w:hint="eastAsia" w:ascii="仿宋" w:hAnsi="仿宋" w:eastAsia="仿宋" w:cs="仿宋"/>
          <w:sz w:val="32"/>
          <w:szCs w:val="32"/>
        </w:rPr>
        <w:t>，实际</w:t>
      </w:r>
      <w:r>
        <w:rPr>
          <w:rFonts w:hint="eastAsia" w:ascii="仿宋" w:hAnsi="仿宋" w:eastAsia="仿宋" w:cs="仿宋"/>
          <w:sz w:val="32"/>
          <w:szCs w:val="32"/>
          <w:lang w:val="en-US" w:eastAsia="zh-CN"/>
        </w:rPr>
        <w:t>完成2场</w:t>
      </w:r>
      <w:r>
        <w:rPr>
          <w:rFonts w:hint="eastAsia" w:ascii="仿宋" w:hAnsi="仿宋" w:eastAsia="仿宋" w:cs="仿宋"/>
          <w:sz w:val="32"/>
          <w:szCs w:val="32"/>
        </w:rPr>
        <w:t>，完成全年目标。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开展残疾人文体活动次数</w:t>
      </w:r>
      <w:r>
        <w:rPr>
          <w:rFonts w:hint="eastAsia" w:ascii="仿宋" w:hAnsi="仿宋" w:eastAsia="仿宋" w:cs="仿宋"/>
          <w:sz w:val="32"/>
          <w:szCs w:val="32"/>
          <w:lang w:val="en-US" w:eastAsia="zh-CN"/>
        </w:rPr>
        <w:t>，指的项目实施后开展文体活动场次，</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目标值5场，实际完成3场。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残疾人文体活动举办达标率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指的项目实施单位残疾人文体活动举办质量，</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目标值100%，各项文体活动按照上级文件要求举办，实际完成率100%。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资金拨付及时率，是指项目资金项目及时到位资金与应到位资金的比率，用以反映和考核项目资金落实的及时性程度，年初目标值100%，实际完成100%。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项目完成时间，是指项目实施后各项工作完成时间，用以</w:t>
      </w:r>
      <w:r>
        <w:rPr>
          <w:rFonts w:hint="eastAsia" w:ascii="仿宋" w:hAnsi="仿宋" w:eastAsia="仿宋" w:cs="仿宋"/>
          <w:sz w:val="32"/>
          <w:szCs w:val="32"/>
        </w:rPr>
        <w:t>反映和考核项目产出</w:t>
      </w:r>
      <w:r>
        <w:rPr>
          <w:rFonts w:hint="eastAsia" w:ascii="仿宋" w:hAnsi="仿宋" w:eastAsia="仿宋" w:cs="仿宋"/>
          <w:sz w:val="32"/>
          <w:szCs w:val="32"/>
          <w:lang w:val="en-US" w:eastAsia="zh-CN"/>
        </w:rPr>
        <w:t>时间</w:t>
      </w:r>
      <w:r>
        <w:rPr>
          <w:rFonts w:hint="eastAsia" w:ascii="仿宋" w:hAnsi="仿宋" w:eastAsia="仿宋" w:cs="仿宋"/>
          <w:sz w:val="32"/>
          <w:szCs w:val="32"/>
        </w:rPr>
        <w:t>目标的实现程度</w:t>
      </w:r>
      <w:r>
        <w:rPr>
          <w:rFonts w:hint="eastAsia" w:ascii="仿宋" w:hAnsi="仿宋" w:eastAsia="仿宋" w:cs="仿宋"/>
          <w:sz w:val="32"/>
          <w:szCs w:val="32"/>
          <w:lang w:val="en-US" w:eastAsia="zh-CN"/>
        </w:rPr>
        <w:t>，年初目标值12月31，实际已于12月31日完成。</w:t>
      </w:r>
    </w:p>
    <w:p>
      <w:pPr>
        <w:pStyle w:val="4"/>
        <w:numPr>
          <w:ilvl w:val="0"/>
          <w:numId w:val="0"/>
        </w:numPr>
        <w:bidi w:val="0"/>
        <w:jc w:val="left"/>
        <w:rPr>
          <w:rFonts w:hint="eastAsia" w:ascii="仿宋" w:hAnsi="仿宋" w:eastAsia="仿宋" w:cs="仿宋"/>
          <w:b w:val="0"/>
          <w:bCs/>
        </w:rPr>
      </w:pPr>
      <w:bookmarkStart w:id="8" w:name="_Toc22253"/>
      <w:r>
        <w:rPr>
          <w:rFonts w:hint="eastAsia" w:ascii="仿宋" w:hAnsi="仿宋" w:eastAsia="仿宋" w:cs="仿宋"/>
          <w:b w:val="0"/>
          <w:bCs/>
        </w:rPr>
        <w:t>（</w:t>
      </w:r>
      <w:r>
        <w:rPr>
          <w:rFonts w:hint="eastAsia" w:ascii="仿宋" w:hAnsi="仿宋" w:eastAsia="仿宋" w:cs="仿宋"/>
          <w:b w:val="0"/>
          <w:bCs/>
          <w:lang w:val="en-US" w:eastAsia="zh-CN"/>
        </w:rPr>
        <w:t>2</w:t>
      </w:r>
      <w:r>
        <w:rPr>
          <w:rFonts w:hint="eastAsia" w:ascii="仿宋" w:hAnsi="仿宋" w:eastAsia="仿宋" w:cs="仿宋"/>
          <w:b w:val="0"/>
          <w:bCs/>
        </w:rPr>
        <w:t>）</w:t>
      </w:r>
      <w:r>
        <w:rPr>
          <w:rFonts w:hint="eastAsia" w:ascii="仿宋" w:hAnsi="仿宋" w:eastAsia="仿宋" w:cs="仿宋"/>
          <w:b/>
          <w:bCs w:val="0"/>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开展开展残疾人文体活动，促进残疾人生活质量明显改善、融合发展持续推进，让广大残疾人安居乐业、衣食无忧，生活得更加美好、更有尊严。推动基层残疾人群众文化深入开展，不断提升残疾人共享公共文化服务的水平，引导广大残疾人积极参与社会生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②可持续影响</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项目实施具有可持续影响，是指项目后续运行及成效发挥的可持续影响情况。省、市、区制定并出台相应专项资金管理办法；各项政策实施后对于受助残疾人各项生活工作得到了改善、提高残疾人及融入社会程度。项目具有可持续性。</w:t>
      </w:r>
    </w:p>
    <w:p>
      <w:pPr>
        <w:pStyle w:val="4"/>
        <w:numPr>
          <w:ilvl w:val="0"/>
          <w:numId w:val="0"/>
        </w:numPr>
        <w:bidi w:val="0"/>
        <w:ind w:leftChars="0"/>
        <w:jc w:val="left"/>
        <w:rPr>
          <w:rFonts w:hint="eastAsia" w:ascii="仿宋" w:hAnsi="仿宋" w:eastAsia="仿宋" w:cs="仿宋"/>
          <w:b w:val="0"/>
          <w:bCs/>
        </w:rPr>
      </w:pPr>
      <w:bookmarkStart w:id="9" w:name="_Toc21447"/>
      <w:r>
        <w:rPr>
          <w:rFonts w:hint="eastAsia" w:ascii="仿宋" w:hAnsi="仿宋" w:eastAsia="仿宋" w:cs="仿宋"/>
          <w:b w:val="0"/>
          <w:bCs/>
        </w:rPr>
        <w:t>（</w:t>
      </w:r>
      <w:r>
        <w:rPr>
          <w:rFonts w:hint="eastAsia" w:ascii="仿宋" w:hAnsi="仿宋" w:eastAsia="仿宋" w:cs="仿宋"/>
          <w:b w:val="0"/>
          <w:bCs/>
          <w:lang w:val="en-US" w:eastAsia="zh-CN"/>
        </w:rPr>
        <w:t>3</w:t>
      </w:r>
      <w:r>
        <w:rPr>
          <w:rFonts w:hint="eastAsia" w:ascii="仿宋" w:hAnsi="仿宋" w:eastAsia="仿宋" w:cs="仿宋"/>
          <w:b w:val="0"/>
          <w:bCs/>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被补贴对象满意度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指的是该项目实施后服务对象满意度。通过残疾人文化补贴项目实施，提高残疾人的文化素质和参与公共文化生活的能力，引导广大残疾人积极参与社会生活。该指标完成率 100%。</w:t>
      </w:r>
    </w:p>
    <w:p>
      <w:pPr>
        <w:pStyle w:val="2"/>
        <w:bidi w:val="0"/>
        <w:rPr>
          <w:rFonts w:hint="eastAsia" w:ascii="仿宋" w:hAnsi="仿宋" w:eastAsia="仿宋" w:cs="仿宋"/>
          <w:lang w:val="en-US" w:eastAsia="zh-CN"/>
        </w:rPr>
      </w:pPr>
      <w:bookmarkStart w:id="10" w:name="_Toc29620"/>
      <w:r>
        <w:rPr>
          <w:rFonts w:hint="eastAsia" w:ascii="仿宋" w:hAnsi="仿宋" w:eastAsia="仿宋" w:cs="仿宋"/>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列举导致年度绩效目标未完成或发生偏离存在的问题和原因。</w:t>
      </w:r>
    </w:p>
    <w:p>
      <w:pPr>
        <w:ind w:firstLine="480"/>
        <w:rPr>
          <w:rFonts w:hint="eastAsia" w:ascii="仿宋" w:hAnsi="仿宋" w:eastAsia="仿宋" w:cs="仿宋"/>
          <w:kern w:val="0"/>
          <w:sz w:val="32"/>
          <w:szCs w:val="32"/>
          <w:lang w:bidi="ar"/>
        </w:rPr>
      </w:pPr>
      <w:bookmarkStart w:id="11" w:name="_Toc5103"/>
      <w:r>
        <w:rPr>
          <w:rFonts w:hint="eastAsia" w:ascii="仿宋" w:hAnsi="仿宋" w:eastAsia="仿宋" w:cs="仿宋"/>
          <w:bCs/>
          <w:sz w:val="32"/>
          <w:szCs w:val="32"/>
          <w:lang w:val="en-US" w:eastAsia="zh-CN"/>
        </w:rPr>
        <w:t>预算资金</w:t>
      </w:r>
      <w:r>
        <w:rPr>
          <w:rFonts w:hint="eastAsia" w:ascii="仿宋" w:hAnsi="仿宋" w:eastAsia="仿宋" w:cs="仿宋"/>
          <w:bCs/>
          <w:sz w:val="32"/>
          <w:szCs w:val="32"/>
        </w:rPr>
        <w:t>支出进度较慢。项目预算资金</w:t>
      </w:r>
      <w:r>
        <w:rPr>
          <w:rFonts w:hint="eastAsia" w:ascii="仿宋" w:hAnsi="仿宋" w:eastAsia="仿宋" w:cs="仿宋"/>
          <w:bCs/>
          <w:sz w:val="32"/>
          <w:szCs w:val="32"/>
          <w:lang w:val="en-US" w:eastAsia="zh-CN"/>
        </w:rPr>
        <w:t>20</w:t>
      </w:r>
      <w:r>
        <w:rPr>
          <w:rFonts w:hint="eastAsia" w:ascii="仿宋" w:hAnsi="仿宋" w:eastAsia="仿宋" w:cs="仿宋"/>
          <w:bCs/>
          <w:sz w:val="32"/>
          <w:szCs w:val="32"/>
        </w:rPr>
        <w:t>万元，实际支出</w:t>
      </w:r>
      <w:r>
        <w:rPr>
          <w:rFonts w:hint="eastAsia" w:ascii="仿宋" w:hAnsi="仿宋" w:eastAsia="仿宋" w:cs="仿宋"/>
          <w:bCs/>
          <w:sz w:val="32"/>
          <w:szCs w:val="32"/>
          <w:lang w:val="en-US" w:eastAsia="zh-CN"/>
        </w:rPr>
        <w:t>10.75</w:t>
      </w:r>
      <w:r>
        <w:rPr>
          <w:rFonts w:hint="eastAsia" w:ascii="仿宋" w:hAnsi="仿宋" w:eastAsia="仿宋" w:cs="仿宋"/>
          <w:bCs/>
          <w:sz w:val="32"/>
          <w:szCs w:val="32"/>
        </w:rPr>
        <w:t>万元，资金支出进度为</w:t>
      </w:r>
      <w:r>
        <w:rPr>
          <w:rFonts w:hint="eastAsia" w:ascii="仿宋" w:hAnsi="仿宋" w:eastAsia="仿宋" w:cs="仿宋"/>
          <w:bCs/>
          <w:sz w:val="32"/>
          <w:szCs w:val="32"/>
          <w:lang w:val="en-US" w:eastAsia="zh-CN"/>
        </w:rPr>
        <w:t>53.75</w:t>
      </w:r>
      <w:r>
        <w:rPr>
          <w:rFonts w:hint="eastAsia" w:ascii="仿宋" w:hAnsi="仿宋" w:eastAsia="仿宋" w:cs="仿宋"/>
          <w:bCs/>
          <w:sz w:val="32"/>
          <w:szCs w:val="32"/>
        </w:rPr>
        <w:t>%，主要原因</w:t>
      </w:r>
      <w:r>
        <w:rPr>
          <w:rFonts w:hint="eastAsia" w:ascii="仿宋" w:hAnsi="仿宋" w:eastAsia="仿宋" w:cs="仿宋"/>
          <w:bCs/>
          <w:sz w:val="32"/>
          <w:szCs w:val="32"/>
          <w:lang w:val="en-US" w:eastAsia="zh-CN"/>
        </w:rPr>
        <w:t>受疫情影响，</w:t>
      </w:r>
      <w:r>
        <w:rPr>
          <w:rFonts w:hint="eastAsia" w:ascii="仿宋" w:hAnsi="仿宋" w:eastAsia="仿宋" w:cs="仿宋"/>
          <w:kern w:val="0"/>
          <w:sz w:val="32"/>
          <w:szCs w:val="32"/>
          <w:lang w:bidi="ar"/>
        </w:rPr>
        <w:t>部分工作尚未开展，导致项目资金支出进度慢。</w:t>
      </w:r>
    </w:p>
    <w:p>
      <w:pPr>
        <w:pStyle w:val="2"/>
        <w:bidi w:val="0"/>
        <w:rPr>
          <w:rFonts w:hint="eastAsia" w:ascii="仿宋" w:hAnsi="仿宋" w:eastAsia="仿宋" w:cs="仿宋"/>
          <w:lang w:val="en-US" w:eastAsia="zh-CN"/>
        </w:rPr>
      </w:pPr>
      <w:r>
        <w:rPr>
          <w:rFonts w:hint="eastAsia" w:ascii="仿宋" w:hAnsi="仿宋" w:eastAsia="仿宋" w:cs="仿宋"/>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rPr>
      </w:pPr>
      <w:bookmarkStart w:id="12" w:name="_Toc10473"/>
      <w:r>
        <w:rPr>
          <w:rFonts w:hint="eastAsia" w:ascii="仿宋" w:hAnsi="仿宋" w:eastAsia="仿宋" w:cs="仿宋"/>
          <w:b w:val="0"/>
          <w:bCs/>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1、合理安排各项工作，加快资金支出进度。加强项目进度管理，对年初预算已确定的项目，尽快组织实施，并及时报销，尚未开展的工作，加快推进，实时监控项目完成情况。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2、落实各项预算任务，采取有力措施，确保加快财政项目支出进度。实时跟踪项目进度,加强绩效监控结果应用，及时上报调整绩效目标，确保绩效目标如期实现。</w:t>
      </w:r>
    </w:p>
    <w:p>
      <w:pPr>
        <w:pStyle w:val="3"/>
        <w:numPr>
          <w:ilvl w:val="0"/>
          <w:numId w:val="1"/>
        </w:numPr>
        <w:bidi w:val="0"/>
        <w:jc w:val="left"/>
        <w:rPr>
          <w:rFonts w:hint="eastAsia" w:ascii="仿宋" w:hAnsi="仿宋" w:eastAsia="仿宋" w:cs="仿宋"/>
          <w:sz w:val="32"/>
          <w:szCs w:val="32"/>
        </w:rPr>
      </w:pPr>
      <w:bookmarkStart w:id="13" w:name="_Toc26603"/>
      <w:r>
        <w:rPr>
          <w:rFonts w:hint="eastAsia" w:ascii="仿宋" w:hAnsi="仿宋" w:eastAsia="仿宋" w:cs="仿宋"/>
          <w:b w:val="0"/>
          <w:bCs/>
        </w:rPr>
        <w:t>与预算安排相结合情况</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sz w:val="32"/>
          <w:szCs w:val="32"/>
        </w:rPr>
        <w:t>加强预算绩效管理，提高财政资金使用效益，在编制年度预算时，结合上年度绩效目标达成情况设定合理的绩效目标，同时根据绩效目标认真开展绩效评价工作，完善绩效指标体系，对资金运行及绩效目标的预期实现程度开展绩效监控，及时纠正执行偏差，确保预算绩效目标实现。</w:t>
      </w:r>
    </w:p>
    <w:p>
      <w:pPr>
        <w:pStyle w:val="2"/>
        <w:bidi w:val="0"/>
        <w:rPr>
          <w:rFonts w:hint="eastAsia" w:ascii="仿宋" w:hAnsi="仿宋" w:eastAsia="仿宋" w:cs="仿宋"/>
          <w:lang w:val="en-US" w:eastAsia="zh-CN"/>
        </w:rPr>
      </w:pPr>
      <w:bookmarkStart w:id="14" w:name="_Toc21576"/>
      <w:r>
        <w:rPr>
          <w:rFonts w:hint="eastAsia" w:ascii="仿宋" w:hAnsi="仿宋" w:eastAsia="仿宋" w:cs="仿宋"/>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rPr>
      </w:pPr>
      <w:bookmarkStart w:id="15" w:name="_Toc75633771"/>
      <w:bookmarkStart w:id="16" w:name="_Toc27000"/>
      <w:r>
        <w:rPr>
          <w:rFonts w:hint="eastAsia" w:ascii="仿宋" w:hAnsi="仿宋" w:eastAsia="仿宋" w:cs="仿宋"/>
          <w:b w:val="0"/>
          <w:bCs/>
        </w:rPr>
        <w:t>基本情况</w:t>
      </w:r>
      <w:bookmarkEnd w:id="15"/>
      <w:bookmarkEnd w:id="16"/>
      <w:bookmarkStart w:id="17" w:name="_Toc75633772"/>
      <w:bookmarkStart w:id="18" w:name="_Toc14165724"/>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rPr>
      </w:pPr>
      <w:bookmarkStart w:id="19" w:name="_Toc22466"/>
      <w:r>
        <w:rPr>
          <w:rFonts w:hint="eastAsia" w:ascii="仿宋" w:hAnsi="仿宋" w:eastAsia="仿宋" w:cs="仿宋"/>
          <w:b w:val="0"/>
          <w:bCs/>
          <w:lang w:eastAsia="zh-CN"/>
        </w:rPr>
        <w:t>（</w:t>
      </w:r>
      <w:r>
        <w:rPr>
          <w:rFonts w:hint="eastAsia" w:ascii="仿宋" w:hAnsi="仿宋" w:eastAsia="仿宋" w:cs="仿宋"/>
          <w:b w:val="0"/>
          <w:bCs/>
          <w:lang w:val="en-US" w:eastAsia="zh-CN"/>
        </w:rPr>
        <w:t>1</w:t>
      </w:r>
      <w:r>
        <w:rPr>
          <w:rFonts w:hint="eastAsia" w:ascii="仿宋" w:hAnsi="仿宋" w:eastAsia="仿宋" w:cs="仿宋"/>
          <w:b w:val="0"/>
          <w:bCs/>
          <w:lang w:eastAsia="zh-CN"/>
        </w:rPr>
        <w:t>）</w:t>
      </w:r>
      <w:r>
        <w:rPr>
          <w:rFonts w:hint="eastAsia" w:ascii="仿宋" w:hAnsi="仿宋" w:eastAsia="仿宋" w:cs="仿宋"/>
          <w:b w:val="0"/>
          <w:bCs/>
        </w:rPr>
        <w:t>项目立项背景和依据</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20" w:name="_Toc14165725"/>
      <w:bookmarkStart w:id="21" w:name="_Toc3398"/>
      <w:bookmarkStart w:id="22" w:name="_Toc75633773"/>
      <w:r>
        <w:rPr>
          <w:rFonts w:hint="eastAsia" w:ascii="仿宋" w:hAnsi="仿宋" w:eastAsia="仿宋" w:cs="仿宋"/>
          <w:sz w:val="32"/>
          <w:szCs w:val="32"/>
          <w:lang w:val="en-US" w:eastAsia="zh-CN"/>
        </w:rPr>
        <w:t>1.《湖北省残疾人联合会关于进一步加强和改进专门协会工作的实施意见》（鄂残联发【2019】22号）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2.《武汉市残联专门协会经费使用办法（试行）》（武残办【2019】6号）                                                </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2</w:t>
      </w:r>
      <w:r>
        <w:rPr>
          <w:rFonts w:hint="eastAsia" w:ascii="仿宋" w:hAnsi="仿宋" w:eastAsia="仿宋" w:cs="仿宋"/>
          <w:b w:val="0"/>
          <w:bCs/>
          <w:lang w:eastAsia="zh-CN"/>
        </w:rPr>
        <w:t>）项目绩效目标</w:t>
      </w:r>
      <w:bookmarkEnd w:id="20"/>
      <w:bookmarkEnd w:id="21"/>
      <w:bookmarkEnd w:id="22"/>
    </w:p>
    <w:p>
      <w:pPr>
        <w:snapToGrid w:val="0"/>
        <w:spacing w:line="360" w:lineRule="auto"/>
        <w:ind w:firstLine="480"/>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2022年度组织区内</w:t>
      </w:r>
      <w:r>
        <w:rPr>
          <w:rFonts w:hint="eastAsia" w:ascii="仿宋" w:hAnsi="仿宋" w:eastAsia="仿宋" w:cs="仿宋"/>
          <w:sz w:val="32"/>
          <w:szCs w:val="32"/>
          <w:lang w:eastAsia="zh-CN"/>
        </w:rPr>
        <w:t>重度或困难残疾人家庭开展看一场电影，游一次园，读一本书，观看一次展览，参加一次文化活动等“五个一”文化进残疾人家庭活动。</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3" w:name="_Toc75633774"/>
      <w:bookmarkStart w:id="24" w:name="_Toc14165726"/>
      <w:bookmarkStart w:id="25" w:name="_Toc3522"/>
      <w:r>
        <w:rPr>
          <w:rFonts w:hint="eastAsia" w:ascii="仿宋" w:hAnsi="仿宋" w:eastAsia="仿宋" w:cs="仿宋"/>
          <w:b w:val="0"/>
          <w:bCs/>
          <w:lang w:eastAsia="zh-CN"/>
        </w:rPr>
        <w:t>（</w:t>
      </w:r>
      <w:r>
        <w:rPr>
          <w:rFonts w:hint="eastAsia" w:ascii="仿宋" w:hAnsi="仿宋" w:eastAsia="仿宋" w:cs="仿宋"/>
          <w:b w:val="0"/>
          <w:bCs/>
          <w:lang w:val="en-US" w:eastAsia="zh-CN"/>
        </w:rPr>
        <w:t>3</w:t>
      </w:r>
      <w:r>
        <w:rPr>
          <w:rFonts w:hint="eastAsia" w:ascii="仿宋" w:hAnsi="仿宋" w:eastAsia="仿宋" w:cs="仿宋"/>
          <w:b w:val="0"/>
          <w:bCs/>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项目资金来源</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基层残疾人文化活动经费</w:t>
      </w:r>
      <w:r>
        <w:rPr>
          <w:rFonts w:hint="eastAsia" w:ascii="仿宋" w:hAnsi="仿宋" w:eastAsia="仿宋" w:cs="仿宋"/>
          <w:sz w:val="32"/>
          <w:szCs w:val="32"/>
        </w:rPr>
        <w:t>”为连续性、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项目。项目年初预算数为</w:t>
      </w:r>
      <w:r>
        <w:rPr>
          <w:rFonts w:hint="eastAsia" w:ascii="仿宋" w:hAnsi="仿宋" w:eastAsia="仿宋" w:cs="仿宋"/>
          <w:sz w:val="32"/>
          <w:szCs w:val="32"/>
          <w:lang w:val="en-US" w:eastAsia="zh-CN"/>
        </w:rPr>
        <w:t>20.00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为</w:t>
      </w:r>
      <w:r>
        <w:rPr>
          <w:rFonts w:hint="eastAsia" w:ascii="仿宋" w:hAnsi="仿宋" w:eastAsia="仿宋" w:cs="仿宋"/>
          <w:sz w:val="32"/>
          <w:szCs w:val="32"/>
          <w:lang w:eastAsia="zh-CN"/>
        </w:rPr>
        <w:t>2022年</w:t>
      </w:r>
      <w:r>
        <w:rPr>
          <w:rFonts w:hint="eastAsia" w:ascii="仿宋" w:hAnsi="仿宋" w:eastAsia="仿宋" w:cs="仿宋"/>
          <w:sz w:val="32"/>
          <w:szCs w:val="32"/>
        </w:rPr>
        <w:t>部门预算项目，均系财政拨款。</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项目资金使用概况</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w:t>
      </w:r>
      <w:r>
        <w:rPr>
          <w:rFonts w:hint="eastAsia" w:ascii="仿宋" w:hAnsi="仿宋" w:eastAsia="仿宋" w:cs="仿宋"/>
          <w:sz w:val="32"/>
          <w:szCs w:val="32"/>
          <w:lang w:eastAsia="zh-CN"/>
        </w:rPr>
        <w:t>基层残疾人文化活动经费</w:t>
      </w:r>
      <w:r>
        <w:rPr>
          <w:rFonts w:hint="eastAsia" w:ascii="仿宋" w:hAnsi="仿宋" w:eastAsia="仿宋" w:cs="仿宋"/>
          <w:sz w:val="32"/>
          <w:szCs w:val="32"/>
        </w:rPr>
        <w:t>”项目计划支出</w:t>
      </w:r>
      <w:r>
        <w:rPr>
          <w:rFonts w:hint="eastAsia" w:ascii="仿宋" w:hAnsi="仿宋" w:eastAsia="仿宋" w:cs="仿宋"/>
          <w:sz w:val="32"/>
          <w:szCs w:val="32"/>
          <w:lang w:val="en-US" w:eastAsia="zh-CN"/>
        </w:rPr>
        <w:t>20.00</w:t>
      </w:r>
      <w:r>
        <w:rPr>
          <w:rFonts w:hint="eastAsia" w:ascii="仿宋" w:hAnsi="仿宋" w:eastAsia="仿宋" w:cs="仿宋"/>
          <w:sz w:val="32"/>
          <w:szCs w:val="32"/>
        </w:rPr>
        <w:t>万元，实际支出为</w:t>
      </w:r>
      <w:r>
        <w:rPr>
          <w:rFonts w:hint="eastAsia" w:ascii="仿宋" w:hAnsi="仿宋" w:eastAsia="仿宋" w:cs="仿宋"/>
          <w:sz w:val="32"/>
          <w:szCs w:val="32"/>
          <w:lang w:val="en-US" w:eastAsia="zh-CN"/>
        </w:rPr>
        <w:t>10.75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资金使用率为</w:t>
      </w:r>
      <w:r>
        <w:rPr>
          <w:rFonts w:hint="eastAsia" w:ascii="仿宋" w:hAnsi="仿宋" w:eastAsia="仿宋" w:cs="仿宋"/>
          <w:sz w:val="32"/>
          <w:szCs w:val="32"/>
          <w:lang w:val="en-US" w:eastAsia="zh-CN"/>
        </w:rPr>
        <w:t>53.75%</w:t>
      </w:r>
      <w:r>
        <w:rPr>
          <w:rFonts w:hint="eastAsia" w:ascii="仿宋" w:hAnsi="仿宋" w:eastAsia="仿宋" w:cs="仿宋"/>
          <w:sz w:val="32"/>
          <w:szCs w:val="32"/>
        </w:rPr>
        <w:t>。</w:t>
      </w:r>
    </w:p>
    <w:tbl>
      <w:tblPr>
        <w:tblStyle w:val="10"/>
        <w:tblW w:w="84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6"/>
        <w:gridCol w:w="2861"/>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预算项目</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经济科目</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3296"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基层残疾人文化活动经费</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其他商品和服务支出</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10.75</w:t>
            </w:r>
          </w:p>
        </w:tc>
      </w:tr>
    </w:tbl>
    <w:p>
      <w:pPr>
        <w:snapToGrid w:val="0"/>
        <w:spacing w:line="360" w:lineRule="auto"/>
        <w:rPr>
          <w:rFonts w:hint="eastAsia" w:ascii="仿宋" w:hAnsi="仿宋" w:eastAsia="仿宋" w:cs="仿宋"/>
          <w:sz w:val="32"/>
          <w:szCs w:val="32"/>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6" w:name="_Toc680"/>
      <w:r>
        <w:rPr>
          <w:rFonts w:hint="eastAsia" w:ascii="仿宋" w:hAnsi="仿宋" w:eastAsia="仿宋" w:cs="仿宋"/>
          <w:b w:val="0"/>
          <w:bCs/>
          <w:lang w:eastAsia="zh-CN"/>
        </w:rPr>
        <w:t>（</w:t>
      </w:r>
      <w:r>
        <w:rPr>
          <w:rFonts w:hint="eastAsia" w:ascii="仿宋" w:hAnsi="仿宋" w:eastAsia="仿宋" w:cs="仿宋"/>
          <w:b w:val="0"/>
          <w:bCs/>
          <w:lang w:val="en-US" w:eastAsia="zh-CN"/>
        </w:rPr>
        <w:t>4</w:t>
      </w:r>
      <w:r>
        <w:rPr>
          <w:rFonts w:hint="eastAsia" w:ascii="仿宋" w:hAnsi="仿宋" w:eastAsia="仿宋" w:cs="仿宋"/>
          <w:b w:val="0"/>
          <w:bCs/>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基层残疾人文化活动经费</w:t>
      </w:r>
      <w:r>
        <w:rPr>
          <w:rFonts w:hint="eastAsia" w:ascii="仿宋" w:hAnsi="仿宋" w:eastAsia="仿宋" w:cs="仿宋"/>
          <w:sz w:val="32"/>
          <w:szCs w:val="32"/>
          <w:lang w:val="en-US" w:eastAsia="zh-CN"/>
        </w:rPr>
        <w:t>”项目主要内容：残疾人开展文体活动租车、购买图书物资等经费支出。</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val="en-US" w:eastAsia="zh-CN"/>
        </w:rPr>
      </w:pPr>
      <w:bookmarkStart w:id="27" w:name="_Toc29849"/>
      <w:r>
        <w:rPr>
          <w:rFonts w:hint="eastAsia" w:ascii="仿宋" w:hAnsi="仿宋" w:eastAsia="仿宋" w:cs="仿宋"/>
          <w:b w:val="0"/>
          <w:bCs/>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按照《蔡甸区财政局关于开展2023年区级财政支出绩效评价工作的通知》蔡财〔2023〕1号中关于开展财政资金绩效自评工作的要求，积极开展绩效自评工作。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一、评价工作方法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（一）绩效评价的方式包括现场评价和非现场评价方式。对2022年财政资金绩效评价采取现场评价的方式进行评价。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现场评价需要绩效评价项目小组到现场采取询问、观察、检查、复核等方式对评价项目的有关情况进行核实，对收集的资料进行整理和科学地分析，根据综合分析的结果得出评价结果，撰写评价报告。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方法主要包括成本效益分析法、比较法、最低成本法、公众评判法、统计计算法等。根据项目特点和评价工作的要求，选择比较法、公众评判法、统计计算法等方法进行绩效评价分析，与此同时，我们收集了大量项目实施单位的各种统计资料进行分析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众评判法。是指通过专家评估等对财政支出效果进行评判，评价绩效目标实现程度。项目小组将对参与的管理部门和项目具体实施单位进行访谈，收集项目具体实施情况和效果的相关证据，为绩效分析结论提供有力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统计计算法。是指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按照计算公式进行计算分析，并根据计算结果分析项目的绩效目标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计划采取深入项目单位实地察看、面访、座谈、查阅相关资料、核查财务凭证等证据收集方法，并从项目单位获取大量高质量和准确可靠的数据信息，同时对项目实施相关机构进行访谈，收集绩效评价所需的基础性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二、评分办法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绩效评价结果采取评分与评级相结合的形式，具体分值和等级根据不同评价内容设定，体现客观公正，具有公信力。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三、评价实施步骤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（一）成立绩效评价项目小组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残疾人联合会（以下简称“区残联”），根据《湖北省人民政府关于推进预算绩效管理的意见》《湖北省财政厅关于印发〈湖北省省级财政项目资金绩效评价实施暂行办法〉的通知》和《蔡甸区财政局关于开展2023年区级财政支出绩效评价工作的通知》蔡财〔2023〕1号等文件要求，成立绩效评价项目小组，具体负责实施绩效评价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（二）绩效评价实施过程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绩效评价工作方案，工作方案包括绩效评价实施方案、评价指标体系及评价标准、基础数据表、绩效评价资料清单。项目小组对绩效评价相关事项进行讨论与研究，反复商讨并制定绩效评价指标体系以及所需的基础数据表，确定评价证据、数据来源及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制定的绩效评价工作方案，收集项目实施单位项目实施材料，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3．根据分析后的情况评分，形成综合评价结果，将评价结果纳入已确定的各项指标临界区间进行比较，确定绩效评价等级。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4．对评价工作进行总结，将项目基本情况、项目单位绩效报告情况、绩效评价工作情况、评价分析及评价结果、评价等级、经验及做法、问题及建议等形成书面报告，向区残联汇报。</w:t>
      </w:r>
    </w:p>
    <w:p>
      <w:pPr>
        <w:pStyle w:val="3"/>
        <w:bidi w:val="0"/>
        <w:spacing w:line="240" w:lineRule="auto"/>
        <w:rPr>
          <w:rFonts w:hint="eastAsia" w:ascii="仿宋" w:hAnsi="仿宋" w:eastAsia="仿宋" w:cs="仿宋"/>
          <w:b w:val="0"/>
          <w:bCs/>
          <w:lang w:val="en-US" w:eastAsia="zh-CN"/>
        </w:rPr>
      </w:pPr>
      <w:bookmarkStart w:id="28" w:name="_Toc20937"/>
      <w:r>
        <w:rPr>
          <w:rFonts w:hint="eastAsia" w:ascii="仿宋" w:hAnsi="仿宋" w:eastAsia="仿宋" w:cs="仿宋"/>
          <w:b w:val="0"/>
          <w:bCs/>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“基层残疾人文化活动经费”项目</w:t>
      </w:r>
      <w:r>
        <w:rPr>
          <w:rFonts w:hint="eastAsia" w:ascii="仿宋" w:hAnsi="仿宋" w:eastAsia="仿宋" w:cs="仿宋"/>
          <w:sz w:val="32"/>
          <w:szCs w:val="32"/>
          <w:lang w:val="en-US" w:eastAsia="zh-CN"/>
        </w:rPr>
        <w:t>年初设定</w:t>
      </w:r>
      <w:r>
        <w:rPr>
          <w:rFonts w:hint="eastAsia" w:ascii="仿宋" w:hAnsi="仿宋" w:eastAsia="仿宋" w:cs="仿宋"/>
          <w:sz w:val="32"/>
          <w:szCs w:val="32"/>
          <w:lang w:eastAsia="zh-CN"/>
        </w:rPr>
        <w:t>绩效目标</w:t>
      </w:r>
      <w:r>
        <w:rPr>
          <w:rFonts w:hint="eastAsia" w:ascii="仿宋" w:hAnsi="仿宋" w:eastAsia="仿宋" w:cs="仿宋"/>
          <w:sz w:val="32"/>
          <w:szCs w:val="32"/>
          <w:lang w:val="en-US" w:eastAsia="zh-CN"/>
        </w:rPr>
        <w:t>基本</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项目执行情况一般</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附：2022年度基层残疾人文化活动经费项目自评表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2022年度基层残疾人文化活动经费项目自评表</w:t>
      </w:r>
    </w:p>
    <w:tbl>
      <w:tblPr>
        <w:tblStyle w:val="10"/>
        <w:tblpPr w:leftFromText="180" w:rightFromText="180" w:vertAnchor="text" w:horzAnchor="page" w:tblpX="735" w:tblpY="707"/>
        <w:tblOverlap w:val="never"/>
        <w:tblW w:w="62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1211"/>
        <w:gridCol w:w="1100"/>
        <w:gridCol w:w="1522"/>
        <w:gridCol w:w="789"/>
        <w:gridCol w:w="1100"/>
        <w:gridCol w:w="422"/>
        <w:gridCol w:w="1006"/>
        <w:gridCol w:w="351"/>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90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基层残疾人文化活动经费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武汉市蔡甸区残疾人联合会</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0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    （万元）</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资金来源</w:t>
            </w:r>
          </w:p>
        </w:tc>
        <w:tc>
          <w:tcPr>
            <w:tcW w:w="10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预算数（A）</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执行数（B）</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一般预算内拨款</w:t>
            </w:r>
          </w:p>
        </w:tc>
        <w:tc>
          <w:tcPr>
            <w:tcW w:w="10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276.19 </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257.77 </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276.19 </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257.77 </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年度绩效目标完成情况</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残疾人托养服务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残疾人培训人数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创建残疾人之家</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新增就业人数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60人</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购买残疾人意外伤害保险完成率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残疾人购买意外伤害覆盖率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12月31日前</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12月31日前</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意外保险人均成本</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控制标准内</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标准内</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改善残疾人生活质量</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项目实施具有可持续影响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被补贴对象满意度</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备注：1.预算执行情况口径：预算数为调整后项目预算总额（包括上年结余结转），执行数为项目实际完成支出。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单位名称：</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武汉市蔡甸区残疾人联合会</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 xml:space="preserve">         填报日期：2023年3月24日</w:t>
      </w:r>
      <w:r>
        <w:rPr>
          <w:rFonts w:hint="eastAsia" w:ascii="仿宋" w:hAnsi="仿宋" w:eastAsia="仿宋" w:cs="仿宋"/>
          <w:sz w:val="22"/>
          <w:szCs w:val="2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bookmarkStart w:id="29" w:name="_GoBack"/>
      <w:bookmarkEnd w:id="2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61192"/>
    <w:multiLevelType w:val="singleLevel"/>
    <w:tmpl w:val="18061192"/>
    <w:lvl w:ilvl="0" w:tentative="0">
      <w:start w:val="1"/>
      <w:numFmt w:val="chineseCounting"/>
      <w:suff w:val="nothing"/>
      <w:lvlText w:val="（%1）"/>
      <w:lvlJc w:val="left"/>
      <w:rPr>
        <w:rFonts w:hint="eastAsia"/>
      </w:rPr>
    </w:lvl>
  </w:abstractNum>
  <w:abstractNum w:abstractNumId="1">
    <w:nsid w:val="77BFE4E9"/>
    <w:multiLevelType w:val="singleLevel"/>
    <w:tmpl w:val="77BFE4E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DB20F7"/>
    <w:rsid w:val="019404F8"/>
    <w:rsid w:val="01D12314"/>
    <w:rsid w:val="021D23FB"/>
    <w:rsid w:val="022F65C3"/>
    <w:rsid w:val="02C848FD"/>
    <w:rsid w:val="02DA4630"/>
    <w:rsid w:val="02FB021D"/>
    <w:rsid w:val="03EB0067"/>
    <w:rsid w:val="03FF465F"/>
    <w:rsid w:val="04C946C0"/>
    <w:rsid w:val="05F640F9"/>
    <w:rsid w:val="070D0B30"/>
    <w:rsid w:val="07B971AC"/>
    <w:rsid w:val="09680BF5"/>
    <w:rsid w:val="09946D12"/>
    <w:rsid w:val="0B071D3B"/>
    <w:rsid w:val="0C534BD4"/>
    <w:rsid w:val="0C655404"/>
    <w:rsid w:val="0D3A1F53"/>
    <w:rsid w:val="0E681446"/>
    <w:rsid w:val="0E775E96"/>
    <w:rsid w:val="0EA33B28"/>
    <w:rsid w:val="0F41684C"/>
    <w:rsid w:val="0FFD0285"/>
    <w:rsid w:val="110023AD"/>
    <w:rsid w:val="119B45DC"/>
    <w:rsid w:val="11C97EA9"/>
    <w:rsid w:val="141C6AA3"/>
    <w:rsid w:val="145B584D"/>
    <w:rsid w:val="146C5694"/>
    <w:rsid w:val="148C19C8"/>
    <w:rsid w:val="14C8078D"/>
    <w:rsid w:val="15121A08"/>
    <w:rsid w:val="16F874F3"/>
    <w:rsid w:val="183D3240"/>
    <w:rsid w:val="18BB318B"/>
    <w:rsid w:val="1A2C356C"/>
    <w:rsid w:val="1CA218C3"/>
    <w:rsid w:val="1CE96785"/>
    <w:rsid w:val="1F1D51D6"/>
    <w:rsid w:val="1FBD682C"/>
    <w:rsid w:val="20503FE2"/>
    <w:rsid w:val="222B739A"/>
    <w:rsid w:val="22386CFF"/>
    <w:rsid w:val="22AB12BB"/>
    <w:rsid w:val="23F36750"/>
    <w:rsid w:val="2560558E"/>
    <w:rsid w:val="265F25D3"/>
    <w:rsid w:val="27C80C8A"/>
    <w:rsid w:val="27F44E46"/>
    <w:rsid w:val="281C4C87"/>
    <w:rsid w:val="288C2760"/>
    <w:rsid w:val="28B45DEB"/>
    <w:rsid w:val="28B67AE6"/>
    <w:rsid w:val="294C6E3F"/>
    <w:rsid w:val="2A43616A"/>
    <w:rsid w:val="2CF33A75"/>
    <w:rsid w:val="2D40315E"/>
    <w:rsid w:val="2D412A32"/>
    <w:rsid w:val="2D636E4D"/>
    <w:rsid w:val="2DA1593F"/>
    <w:rsid w:val="2DEE4968"/>
    <w:rsid w:val="2FAD736C"/>
    <w:rsid w:val="2FB35E69"/>
    <w:rsid w:val="30120F5C"/>
    <w:rsid w:val="31E85878"/>
    <w:rsid w:val="3219405C"/>
    <w:rsid w:val="324C7EAF"/>
    <w:rsid w:val="33953AD8"/>
    <w:rsid w:val="33FB393B"/>
    <w:rsid w:val="351516AA"/>
    <w:rsid w:val="368340BC"/>
    <w:rsid w:val="36FF7BE6"/>
    <w:rsid w:val="370A4414"/>
    <w:rsid w:val="38691B7D"/>
    <w:rsid w:val="3AFC4BC0"/>
    <w:rsid w:val="3E234B49"/>
    <w:rsid w:val="3F2C6E75"/>
    <w:rsid w:val="3FCC0881"/>
    <w:rsid w:val="3FD35411"/>
    <w:rsid w:val="3FE37A8D"/>
    <w:rsid w:val="3FEE432F"/>
    <w:rsid w:val="411B561D"/>
    <w:rsid w:val="412C5A7C"/>
    <w:rsid w:val="41913B31"/>
    <w:rsid w:val="42C81E5B"/>
    <w:rsid w:val="42D65788"/>
    <w:rsid w:val="43EF2C71"/>
    <w:rsid w:val="444F5357"/>
    <w:rsid w:val="459040FF"/>
    <w:rsid w:val="477041E8"/>
    <w:rsid w:val="477137B3"/>
    <w:rsid w:val="48BB5339"/>
    <w:rsid w:val="4A1470AD"/>
    <w:rsid w:val="4A6242BC"/>
    <w:rsid w:val="4B775167"/>
    <w:rsid w:val="4BC602FA"/>
    <w:rsid w:val="4BF85864"/>
    <w:rsid w:val="4C8B65CE"/>
    <w:rsid w:val="4CA02D6C"/>
    <w:rsid w:val="4CB61310"/>
    <w:rsid w:val="4D622825"/>
    <w:rsid w:val="4DAE5A6A"/>
    <w:rsid w:val="4DC31EC6"/>
    <w:rsid w:val="4EA60E1A"/>
    <w:rsid w:val="4F813D71"/>
    <w:rsid w:val="500F00E3"/>
    <w:rsid w:val="50D931C6"/>
    <w:rsid w:val="5105691F"/>
    <w:rsid w:val="514E07A1"/>
    <w:rsid w:val="51594625"/>
    <w:rsid w:val="527B0C18"/>
    <w:rsid w:val="52E42E4C"/>
    <w:rsid w:val="5495528E"/>
    <w:rsid w:val="555E38D2"/>
    <w:rsid w:val="55982E86"/>
    <w:rsid w:val="576B32B2"/>
    <w:rsid w:val="57DA1F20"/>
    <w:rsid w:val="58003366"/>
    <w:rsid w:val="58F43202"/>
    <w:rsid w:val="59F76F17"/>
    <w:rsid w:val="5AE451B8"/>
    <w:rsid w:val="5DD60DF1"/>
    <w:rsid w:val="5E9A3A3E"/>
    <w:rsid w:val="5F0279C4"/>
    <w:rsid w:val="5F1D4FFB"/>
    <w:rsid w:val="5FCC092D"/>
    <w:rsid w:val="606F2E37"/>
    <w:rsid w:val="614E0C9F"/>
    <w:rsid w:val="61994EFA"/>
    <w:rsid w:val="62D20299"/>
    <w:rsid w:val="631F0B45"/>
    <w:rsid w:val="6388676C"/>
    <w:rsid w:val="64C51278"/>
    <w:rsid w:val="65A771A3"/>
    <w:rsid w:val="6622352C"/>
    <w:rsid w:val="67FB2B15"/>
    <w:rsid w:val="6833759F"/>
    <w:rsid w:val="68666B58"/>
    <w:rsid w:val="68BC1DAF"/>
    <w:rsid w:val="69400EF7"/>
    <w:rsid w:val="694C2E11"/>
    <w:rsid w:val="6A1A3E14"/>
    <w:rsid w:val="6B0B56DA"/>
    <w:rsid w:val="6DE90B5F"/>
    <w:rsid w:val="6E001573"/>
    <w:rsid w:val="70A24B63"/>
    <w:rsid w:val="718A4220"/>
    <w:rsid w:val="71B73ED1"/>
    <w:rsid w:val="720E0702"/>
    <w:rsid w:val="722F7ECD"/>
    <w:rsid w:val="72730565"/>
    <w:rsid w:val="7355410F"/>
    <w:rsid w:val="737316EB"/>
    <w:rsid w:val="74341F76"/>
    <w:rsid w:val="75B726B5"/>
    <w:rsid w:val="765B3AC3"/>
    <w:rsid w:val="76994E49"/>
    <w:rsid w:val="771245DB"/>
    <w:rsid w:val="77AC0BA7"/>
    <w:rsid w:val="7A602ED9"/>
    <w:rsid w:val="7B8A14E5"/>
    <w:rsid w:val="7BB83C85"/>
    <w:rsid w:val="7CE000AD"/>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0"/>
    <w:rPr>
      <w:b/>
    </w:rPr>
  </w:style>
  <w:style w:type="character" w:customStyle="1" w:styleId="14">
    <w:name w:val="标题 2 Char"/>
    <w:link w:val="3"/>
    <w:qFormat/>
    <w:uiPriority w:val="0"/>
    <w:rPr>
      <w:rFonts w:ascii="Arial" w:hAnsi="Arial" w:eastAsia="黑体"/>
      <w:b/>
      <w:sz w:val="32"/>
    </w:rPr>
  </w:style>
  <w:style w:type="paragraph" w:customStyle="1" w:styleId="15">
    <w:name w:val="WPSOffice手动目录 1"/>
    <w:qFormat/>
    <w:uiPriority w:val="0"/>
    <w:pPr>
      <w:ind w:leftChars="0"/>
    </w:pPr>
    <w:rPr>
      <w:rFonts w:ascii="Calibri" w:hAnsi="Calibri" w:eastAsia="宋体" w:cs="Calibri"/>
      <w:sz w:val="20"/>
      <w:szCs w:val="20"/>
    </w:rPr>
  </w:style>
  <w:style w:type="paragraph" w:customStyle="1" w:styleId="16">
    <w:name w:val="WPSOffice手动目录 2"/>
    <w:qFormat/>
    <w:uiPriority w:val="0"/>
    <w:pPr>
      <w:ind w:leftChars="200"/>
    </w:pPr>
    <w:rPr>
      <w:rFonts w:ascii="Calibri" w:hAnsi="Calibri" w:eastAsia="宋体" w:cs="Calibri"/>
      <w:sz w:val="20"/>
      <w:szCs w:val="20"/>
    </w:rPr>
  </w:style>
  <w:style w:type="paragraph" w:customStyle="1" w:styleId="17">
    <w:name w:val="WPSOffice手动目录 3"/>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WPS_1655031587</cp:lastModifiedBy>
  <dcterms:modified xsi:type="dcterms:W3CDTF">2023-03-24T02:38:23Z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93F0D9EA72BA48F385BEFC08B52CF993</vt:lpwstr>
  </property>
</Properties>
</file>