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Times New Roman" w:eastAsia="方正小标宋简体" w:cs="Times New Roman"/>
          <w:snapToGrid w:val="0"/>
          <w:spacing w:val="8"/>
          <w:kern w:val="0"/>
          <w:sz w:val="44"/>
          <w:szCs w:val="44"/>
          <w:lang w:val="en-US" w:eastAsia="zh-CN"/>
        </w:rPr>
      </w:pPr>
      <w:r>
        <w:rPr>
          <w:rFonts w:hint="eastAsia" w:ascii="方正小标宋简体" w:hAnsi="Times New Roman" w:eastAsia="方正小标宋简体" w:cs="Times New Roman"/>
          <w:snapToGrid w:val="0"/>
          <w:spacing w:val="8"/>
          <w:kern w:val="0"/>
          <w:sz w:val="44"/>
          <w:szCs w:val="44"/>
          <w:lang w:val="en-US" w:eastAsia="zh-CN"/>
        </w:rPr>
        <w:t>中国共产党武汉市蔡甸区委员会政策研究室</w:t>
      </w:r>
      <w:bookmarkStart w:id="0" w:name="_GoBack"/>
      <w:bookmarkEnd w:id="0"/>
      <w:r>
        <w:rPr>
          <w:rFonts w:hint="eastAsia" w:ascii="方正小标宋简体" w:hAnsi="Times New Roman" w:eastAsia="方正小标宋简体" w:cs="Times New Roman"/>
          <w:snapToGrid w:val="0"/>
          <w:spacing w:val="8"/>
          <w:kern w:val="0"/>
          <w:sz w:val="44"/>
          <w:szCs w:val="44"/>
          <w:lang w:val="en-US" w:eastAsia="zh-CN"/>
        </w:rPr>
        <w:t>2024年预算编制说明</w:t>
      </w:r>
    </w:p>
    <w:p>
      <w:pPr>
        <w:adjustRightInd w:val="0"/>
        <w:snapToGrid w:val="0"/>
        <w:spacing w:line="560" w:lineRule="exact"/>
        <w:jc w:val="center"/>
        <w:rPr>
          <w:rFonts w:hint="eastAsia" w:ascii="方正小标宋简体" w:hAnsi="Times New Roman" w:eastAsia="方正小标宋简体" w:cs="Times New Roman"/>
          <w:snapToGrid w:val="0"/>
          <w:spacing w:val="8"/>
          <w:kern w:val="0"/>
          <w:sz w:val="44"/>
          <w:szCs w:val="44"/>
          <w:lang w:val="en-US" w:eastAsia="zh-CN"/>
        </w:rPr>
      </w:pP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本预算草案根据《中华人民共和国预算法》、我部门“三定”方案规定的职能和2024年主要工作任务编制。</w:t>
      </w:r>
      <w:r>
        <w:rPr>
          <w:rFonts w:hint="eastAsia" w:ascii="Times New Roman" w:hAnsi="Times New Roman" w:eastAsia="仿宋_GB2312" w:cs="Times New Roman"/>
          <w:snapToGrid w:val="0"/>
          <w:spacing w:val="8"/>
          <w:kern w:val="0"/>
          <w:sz w:val="32"/>
          <w:szCs w:val="32"/>
          <w:lang w:eastAsia="zh-CN"/>
        </w:rPr>
        <w:t>预算草案已报本部门党组（党委）审议通过。</w:t>
      </w:r>
      <w:r>
        <w:rPr>
          <w:rFonts w:hint="eastAsia" w:ascii="仿宋_GB2312" w:hAnsi="仿宋" w:eastAsia="仿宋_GB2312"/>
          <w:spacing w:val="8"/>
          <w:sz w:val="32"/>
          <w:lang w:val="en-US" w:eastAsia="zh-CN"/>
        </w:rPr>
        <w:t>草案所列内容准确、真实、完整。我部门将根据审查批复的预算做好执行工作，对预算执行结果负责，并依法接受区人大审查监督。</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 xml:space="preserve">                部门法定代表人签字：</w:t>
      </w:r>
    </w:p>
    <w:p>
      <w:pPr>
        <w:spacing w:line="560" w:lineRule="atLeast"/>
        <w:ind w:firstLine="672" w:firstLineChars="200"/>
        <w:jc w:val="left"/>
        <w:rPr>
          <w:rFonts w:hint="eastAsia" w:ascii="仿宋_GB2312" w:hAnsi="仿宋" w:eastAsia="仿宋_GB2312"/>
          <w:spacing w:val="8"/>
          <w:sz w:val="32"/>
          <w:lang w:val="en-US" w:eastAsia="zh-CN"/>
        </w:rPr>
      </w:pPr>
    </w:p>
    <w:p>
      <w:pPr>
        <w:spacing w:line="560" w:lineRule="atLeast"/>
        <w:ind w:firstLine="672" w:firstLineChars="200"/>
        <w:jc w:val="left"/>
        <w:rPr>
          <w:rFonts w:hint="eastAsia" w:ascii="仿宋_GB2312" w:hAnsi="仿宋" w:eastAsia="仿宋_GB2312"/>
          <w:spacing w:val="8"/>
          <w:sz w:val="32"/>
          <w:lang w:val="en-US" w:eastAsia="zh-CN"/>
        </w:rPr>
      </w:pPr>
    </w:p>
    <w:p>
      <w:pPr>
        <w:numPr>
          <w:ilvl w:val="0"/>
          <w:numId w:val="0"/>
        </w:numPr>
        <w:spacing w:line="560" w:lineRule="atLeast"/>
        <w:ind w:firstLine="672" w:firstLineChars="200"/>
        <w:jc w:val="left"/>
        <w:rPr>
          <w:rFonts w:hint="eastAsia" w:eastAsia="黑体"/>
          <w:spacing w:val="8"/>
          <w:sz w:val="32"/>
          <w:lang w:val="en-US" w:eastAsia="zh-CN"/>
        </w:rPr>
      </w:pPr>
      <w:r>
        <w:rPr>
          <w:rFonts w:hint="eastAsia" w:eastAsia="黑体"/>
          <w:spacing w:val="8"/>
          <w:sz w:val="32"/>
          <w:lang w:val="en-US" w:eastAsia="zh-CN"/>
        </w:rPr>
        <w:t>一、部门概况</w:t>
      </w:r>
    </w:p>
    <w:p>
      <w:pPr>
        <w:pStyle w:val="2"/>
        <w:ind w:firstLine="672" w:firstLineChars="200"/>
        <w:rPr>
          <w:rFonts w:hint="default" w:ascii="仿宋_GB2312" w:hAnsi="仿宋" w:eastAsia="仿宋_GB2312" w:cstheme="minorBidi"/>
          <w:spacing w:val="8"/>
          <w:kern w:val="2"/>
          <w:sz w:val="32"/>
          <w:szCs w:val="24"/>
          <w:lang w:val="en-US" w:eastAsia="zh-CN" w:bidi="ar-SA"/>
        </w:rPr>
      </w:pPr>
      <w:r>
        <w:rPr>
          <w:rFonts w:hint="eastAsia" w:ascii="仿宋_GB2312" w:hAnsi="仿宋" w:eastAsia="仿宋_GB2312" w:cstheme="minorBidi"/>
          <w:spacing w:val="8"/>
          <w:kern w:val="2"/>
          <w:sz w:val="32"/>
          <w:szCs w:val="24"/>
          <w:lang w:val="en-US" w:eastAsia="zh-CN" w:bidi="ar-SA"/>
        </w:rPr>
        <w:t>1、部门职能</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cstheme="minorBidi"/>
          <w:spacing w:val="8"/>
          <w:kern w:val="2"/>
          <w:sz w:val="32"/>
          <w:szCs w:val="24"/>
          <w:lang w:val="en-US" w:eastAsia="zh-CN" w:bidi="ar-SA"/>
        </w:rPr>
        <w:t>围绕党的中心工作</w:t>
      </w:r>
      <w:r>
        <w:rPr>
          <w:rFonts w:hint="eastAsia" w:ascii="仿宋_GB2312" w:hAnsi="仿宋" w:eastAsia="仿宋_GB2312"/>
          <w:spacing w:val="8"/>
          <w:sz w:val="32"/>
          <w:lang w:val="en-US" w:eastAsia="zh-CN"/>
        </w:rPr>
        <w:t>，对全区经济、政治、文化、社会、生态文明和党的建设方面的重大问题开展调查研究，为区委决策提供参考意见。承担区委重要文件、区委主要领导讲话等文稿的起草、修改工作。负责区委全面深化改革委员会、区委财经委员会的日常工作。按规定承担全面从严治党、国家安全、意识形态等主体责任</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2、部门决算单位构成</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从单位构成看，中国共产党武汉市蔡甸区委员会政策研究室部门预算由纳入独立核算的单位本级预算。</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纳入中国共产党武汉市蔡甸区委员会政策研究室2024年度部门预算编制范围的二级预算单位包括：</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（1）中国共产党武汉市蔡甸区委员会政策研究室（本级）</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（2）无</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3、部门人员构成</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中国共产党武汉市蔡甸区委员会政策研究室在职实有人数4人，其中：行政4人，事业0人(其中：参照公务员法管理0人)。</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离退休人员0人，其中：离休0人，退休0人。</w:t>
      </w:r>
    </w:p>
    <w:p>
      <w:pPr>
        <w:spacing w:line="560" w:lineRule="atLeast"/>
        <w:ind w:firstLine="672" w:firstLineChars="200"/>
        <w:rPr>
          <w:rFonts w:hint="eastAsia" w:eastAsia="黑体"/>
          <w:spacing w:val="8"/>
          <w:sz w:val="32"/>
          <w:lang w:val="en-US" w:eastAsia="zh-CN"/>
        </w:rPr>
      </w:pPr>
      <w:r>
        <w:rPr>
          <w:rFonts w:hint="eastAsia" w:eastAsia="黑体"/>
          <w:spacing w:val="8"/>
          <w:sz w:val="32"/>
          <w:lang w:val="en-US" w:eastAsia="zh-CN"/>
        </w:rPr>
        <w:t>二、部门年度工作目标及重点</w:t>
      </w:r>
    </w:p>
    <w:p>
      <w:pPr>
        <w:pStyle w:val="2"/>
        <w:ind w:firstLine="672" w:firstLineChars="200"/>
        <w:rPr>
          <w:rFonts w:hint="default" w:ascii="仿宋_GB2312" w:hAnsi="仿宋" w:eastAsia="仿宋_GB2312" w:cstheme="minorBidi"/>
          <w:spacing w:val="8"/>
          <w:kern w:val="2"/>
          <w:sz w:val="32"/>
          <w:szCs w:val="24"/>
          <w:lang w:val="en-US" w:eastAsia="zh-CN" w:bidi="ar-SA"/>
        </w:rPr>
      </w:pPr>
      <w:r>
        <w:rPr>
          <w:rFonts w:hint="eastAsia" w:ascii="仿宋_GB2312" w:hAnsi="仿宋" w:eastAsia="仿宋_GB2312" w:cstheme="minorBidi"/>
          <w:spacing w:val="8"/>
          <w:kern w:val="2"/>
          <w:sz w:val="32"/>
          <w:szCs w:val="24"/>
          <w:lang w:val="en-US" w:eastAsia="zh-CN" w:bidi="ar-SA"/>
        </w:rPr>
        <w:t>高质量完成文字材料起草、全面做好深化改革、财经等工作。</w:t>
      </w:r>
    </w:p>
    <w:p>
      <w:pPr>
        <w:spacing w:line="560" w:lineRule="atLeast"/>
        <w:ind w:firstLine="672" w:firstLineChars="200"/>
        <w:rPr>
          <w:rFonts w:hint="eastAsia" w:eastAsia="黑体"/>
          <w:spacing w:val="8"/>
          <w:sz w:val="32"/>
          <w:lang w:val="en-US" w:eastAsia="zh-CN"/>
        </w:rPr>
      </w:pPr>
      <w:r>
        <w:rPr>
          <w:rFonts w:hint="eastAsia" w:eastAsia="黑体"/>
          <w:spacing w:val="8"/>
          <w:sz w:val="32"/>
          <w:lang w:val="en-US" w:eastAsia="zh-CN"/>
        </w:rPr>
        <w:t>三、收支预算安排情况</w:t>
      </w:r>
    </w:p>
    <w:p>
      <w:pPr>
        <w:ind w:firstLine="675" w:firstLineChars="200"/>
        <w:rPr>
          <w:rFonts w:hint="eastAsia" w:ascii="楷体_GB2312" w:eastAsia="楷体_GB2312"/>
          <w:b/>
          <w:spacing w:val="8"/>
          <w:sz w:val="32"/>
          <w:lang w:val="en-US" w:eastAsia="zh-CN"/>
        </w:rPr>
      </w:pPr>
      <w:r>
        <w:rPr>
          <w:rFonts w:hint="eastAsia" w:ascii="楷体_GB2312" w:eastAsia="楷体_GB2312"/>
          <w:b/>
          <w:spacing w:val="8"/>
          <w:sz w:val="32"/>
          <w:lang w:val="en-US" w:eastAsia="zh-CN"/>
        </w:rPr>
        <w:t>（一）财政拨款收支预算总体安排情况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lang w:val="en-US" w:eastAsia="zh-CN"/>
        </w:rPr>
        <w:t>2024年财政拨款(补助)预算数166.11万元，比2023年预算增加24.24</w:t>
      </w:r>
      <w:r>
        <w:rPr>
          <w:rFonts w:hint="eastAsia" w:ascii="仿宋_GB2312" w:hAnsi="仿宋" w:eastAsia="仿宋_GB2312"/>
          <w:spacing w:val="8"/>
          <w:sz w:val="32"/>
          <w:highlight w:val="none"/>
          <w:lang w:val="en-US" w:eastAsia="zh-CN"/>
        </w:rPr>
        <w:t>万元，增加17%，主要原因是：人员经费增加。其中：</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lang w:val="en-US" w:eastAsia="zh-CN"/>
        </w:rPr>
        <w:t>1.基本支出142.11万元，</w:t>
      </w:r>
      <w:r>
        <w:rPr>
          <w:rFonts w:hint="eastAsia" w:ascii="仿宋_GB2312" w:hAnsi="仿宋" w:eastAsia="仿宋_GB2312"/>
          <w:spacing w:val="8"/>
          <w:sz w:val="32"/>
          <w:highlight w:val="none"/>
          <w:lang w:val="en-US" w:eastAsia="zh-CN"/>
        </w:rPr>
        <w:t>比2023年预算增加28.24万元，增加24.8%，主要原因是：人员经费增加。其中：</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（1）工资福利支出129.65万元，用于在职人员的基本工资、津贴补贴、奖金、绩效工资、社会保障费、医疗、养老、住房公积金等工资福利性支出。</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（2）商品服务支出12.46万元，用于办公费、邮电费、差旅费、维护费、会议费、工会经费、其他交通费、三费、福利费、其他商品和服务支出等。</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2.项目支出29万元，比2023年预算增加了1万元，主要原因是增加了往来预算。</w:t>
      </w:r>
    </w:p>
    <w:p>
      <w:pPr>
        <w:ind w:firstLine="672" w:firstLineChars="200"/>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（二）一般公共预算支出安排情况</w:t>
      </w:r>
    </w:p>
    <w:p>
      <w:pPr>
        <w:ind w:firstLine="672" w:firstLineChars="200"/>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2024年一般公共预算支出166.117万元。其中：</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1.一般公共服务支出121.57万元，用于行政运行、一般行政管理事务、其他政府办公（厅）室及相关机构事务支出。</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2.社会保障支出9.88万元。其中：</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（1）行政事业单位养老支出10.7万元，用于行政单位机关事业单位基本养老保险缴费支出等。</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3.卫生健康支出13.21万元，用于行政单位医疗、公务员医疗补助等。</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4.住房保障支出10.75万元，用于住房公积金、提租补贴等。</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（三）政府性基金预算支出安排情况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2024年无政府性基金预算拨款收入支出。</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（四）国有资本经营预算支出安排情况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2024年无国有资本经营预算支出安排。</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（五）部门“三公”经费财政拨款预算情况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2024年部门财政拨款资金安排“三公”经费预算0万元，与2023年预算相比较无增减变化。</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1.2024年本单位没有安排因公出国(境)经费预算</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2.公务用车购置及运行维护费0万元，与2023年预算相比较无增减变化。</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3.2024年本单位没有安排公务接待费预算。</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（六）部门财务收支预算安排情况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2024年部门预算总收入171.11万元，一般公共预算拨款收入166.11万元；其他收入5万元；2024年支出171.11万元。</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四、其他需要说明的情况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（一）政府采购预算情况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2024年度部门政府采购预算项目资金10万元，主要用于办公耗材及办公设备、服务支出类10万元。</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（二）政府购买服务预算情况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2024年度部门购买服务预算支出0万元。</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（三）新增资产配置预算情况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2024年度部门政府采购预算项目资金10万元，主要用于办公耗材及办公设备、服务支出类10万元。</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（四）绩效目标编制情况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2024年度部门开展绩效目标。</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（五）机关运行经费情况</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2024年度部门机关运行经费12.46万元,主要用于公务费、会议费、其他交通费、三费、其他商品和服务支出等。</w:t>
      </w:r>
    </w:p>
    <w:p>
      <w:pPr>
        <w:ind w:firstLine="672" w:firstLineChars="200"/>
        <w:rPr>
          <w:rFonts w:hint="eastAsia"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（六）国有资产占用情况</w:t>
      </w:r>
    </w:p>
    <w:p>
      <w:pPr>
        <w:ind w:firstLine="672" w:firstLineChars="200"/>
        <w:rPr>
          <w:rFonts w:hint="default" w:ascii="仿宋_GB2312" w:hAnsi="仿宋" w:eastAsia="仿宋_GB2312"/>
          <w:spacing w:val="8"/>
          <w:sz w:val="32"/>
          <w:highlight w:val="none"/>
          <w:lang w:val="en-US" w:eastAsia="zh-CN"/>
        </w:rPr>
      </w:pPr>
      <w:r>
        <w:rPr>
          <w:rFonts w:hint="eastAsia" w:ascii="仿宋_GB2312" w:hAnsi="仿宋" w:eastAsia="仿宋_GB2312"/>
          <w:spacing w:val="8"/>
          <w:sz w:val="32"/>
          <w:highlight w:val="none"/>
          <w:lang w:val="en-US" w:eastAsia="zh-CN"/>
        </w:rPr>
        <w:t>截至2023年12月22日，部门占有使用固定资产13.42万元，其中通用设备13.10万元、家具等0.32万元;无形资产2.37万元。</w:t>
      </w:r>
    </w:p>
    <w:p>
      <w:pPr>
        <w:numPr>
          <w:ilvl w:val="0"/>
          <w:numId w:val="0"/>
        </w:numPr>
        <w:spacing w:line="560" w:lineRule="atLeast"/>
        <w:jc w:val="left"/>
        <w:rPr>
          <w:rFonts w:hint="default" w:ascii="仿宋_GB2312" w:hAnsi="仿宋" w:eastAsia="仿宋_GB2312"/>
          <w:spacing w:val="8"/>
          <w:sz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GU4MGZhZGFlZjM1NmJiNmVhNTRjYzI4NzMxNmMifQ=="/>
    <w:docVar w:name="KSO_WPS_MARK_KEY" w:val="e555ec6b-0ad9-46fc-9fbc-38a33095211e"/>
  </w:docVars>
  <w:rsids>
    <w:rsidRoot w:val="00000000"/>
    <w:rsid w:val="01D72A73"/>
    <w:rsid w:val="0A6A3D56"/>
    <w:rsid w:val="0BE80AD1"/>
    <w:rsid w:val="115D170B"/>
    <w:rsid w:val="1E9B027E"/>
    <w:rsid w:val="23E24A54"/>
    <w:rsid w:val="29DA321D"/>
    <w:rsid w:val="32C4256F"/>
    <w:rsid w:val="37696E45"/>
    <w:rsid w:val="398D3DBF"/>
    <w:rsid w:val="3C83219C"/>
    <w:rsid w:val="48636565"/>
    <w:rsid w:val="4A342A47"/>
    <w:rsid w:val="4A7B680E"/>
    <w:rsid w:val="50714004"/>
    <w:rsid w:val="55FD00AD"/>
    <w:rsid w:val="59415B91"/>
    <w:rsid w:val="5AF907E6"/>
    <w:rsid w:val="5E85306D"/>
    <w:rsid w:val="6E4F00AE"/>
    <w:rsid w:val="7AB46601"/>
    <w:rsid w:val="7C1F094F"/>
    <w:rsid w:val="7CE26A26"/>
    <w:rsid w:val="7E7B0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0" w:beforeAutospacing="0" w:after="120" w:afterAutospacing="0"/>
      <w:ind w:left="0" w:right="0"/>
      <w:jc w:val="left"/>
    </w:pPr>
    <w:rPr>
      <w:rFonts w:hint="eastAsia" w:ascii="仿宋" w:hAnsi="仿宋" w:eastAsia="仿宋" w:cs="仿宋"/>
      <w:kern w:val="0"/>
      <w:sz w:val="24"/>
      <w:szCs w:val="24"/>
      <w:lang w:val="en-US" w:eastAsia="zh-CN" w:bidi="ar"/>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1576</Words>
  <Characters>1754</Characters>
  <Lines>0</Lines>
  <Paragraphs>0</Paragraphs>
  <TotalTime>30</TotalTime>
  <ScaleCrop>false</ScaleCrop>
  <LinksUpToDate>false</LinksUpToDate>
  <CharactersWithSpaces>1770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独自存在</cp:lastModifiedBy>
  <dcterms:modified xsi:type="dcterms:W3CDTF">2024-07-04T01:25:59Z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83D263E8FCF34E088758FC95C44FB09F_13</vt:lpwstr>
  </property>
</Properties>
</file>