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eastAsia="仿宋_GB2312" w:cs="仿宋_GB2312"/>
          <w:b/>
          <w:bCs/>
          <w:color w:val="000000"/>
          <w:sz w:val="40"/>
          <w:szCs w:val="40"/>
        </w:rPr>
      </w:pPr>
    </w:p>
    <w:p>
      <w:pPr>
        <w:pStyle w:val="2"/>
        <w:rPr>
          <w:rFonts w:ascii="仿宋_GB2312" w:eastAsia="仿宋_GB2312" w:cs="仿宋_GB2312"/>
          <w:b/>
          <w:bCs/>
          <w:color w:val="000000"/>
          <w:sz w:val="40"/>
          <w:szCs w:val="40"/>
        </w:rPr>
      </w:pPr>
    </w:p>
    <w:p/>
    <w:p>
      <w:pPr>
        <w:spacing w:line="360" w:lineRule="auto"/>
        <w:jc w:val="center"/>
        <w:rPr>
          <w:rFonts w:ascii="仿宋_GB2312" w:eastAsia="仿宋_GB2312" w:cs="仿宋_GB2312"/>
          <w:b/>
          <w:bCs/>
          <w:color w:val="000000"/>
          <w:sz w:val="40"/>
          <w:szCs w:val="40"/>
        </w:rPr>
      </w:pPr>
      <w:r>
        <w:rPr>
          <w:rFonts w:hint="eastAsia" w:ascii="仿宋_GB2312" w:eastAsia="仿宋_GB2312" w:cs="仿宋_GB2312"/>
          <w:b/>
          <w:bCs/>
          <w:color w:val="000000"/>
          <w:sz w:val="40"/>
          <w:szCs w:val="40"/>
        </w:rPr>
        <w:t>武汉市蔡甸区</w:t>
      </w:r>
      <w:r>
        <w:rPr>
          <w:rFonts w:hint="eastAsia" w:ascii="仿宋_GB2312" w:eastAsia="仿宋_GB2312" w:cs="仿宋_GB2312"/>
          <w:b/>
          <w:bCs/>
          <w:color w:val="000000"/>
          <w:sz w:val="40"/>
          <w:szCs w:val="40"/>
          <w:lang w:eastAsia="zh-CN"/>
        </w:rPr>
        <w:t>人民政府办公室</w:t>
      </w:r>
      <w:r>
        <w:rPr>
          <w:rFonts w:hint="eastAsia" w:ascii="仿宋_GB2312" w:eastAsia="仿宋_GB2312" w:cs="仿宋_GB2312"/>
          <w:b/>
          <w:bCs/>
          <w:color w:val="000000"/>
          <w:sz w:val="40"/>
          <w:szCs w:val="40"/>
        </w:rPr>
        <w:t xml:space="preserve"> </w:t>
      </w:r>
    </w:p>
    <w:p>
      <w:pPr>
        <w:spacing w:line="360" w:lineRule="auto"/>
        <w:jc w:val="center"/>
        <w:rPr>
          <w:rFonts w:ascii="仿宋_GB2312" w:eastAsia="仿宋_GB2312"/>
          <w:b/>
          <w:bCs/>
          <w:color w:val="000000"/>
          <w:sz w:val="40"/>
          <w:szCs w:val="40"/>
        </w:rPr>
      </w:pPr>
      <w:r>
        <w:rPr>
          <w:rFonts w:ascii="仿宋_GB2312" w:eastAsia="仿宋_GB2312" w:cs="仿宋_GB2312"/>
          <w:b/>
          <w:bCs/>
          <w:color w:val="000000"/>
          <w:sz w:val="40"/>
          <w:szCs w:val="40"/>
        </w:rPr>
        <w:t>20</w:t>
      </w:r>
      <w:r>
        <w:rPr>
          <w:rFonts w:hint="eastAsia" w:ascii="仿宋_GB2312" w:eastAsia="仿宋_GB2312" w:cs="仿宋_GB2312"/>
          <w:b/>
          <w:bCs/>
          <w:color w:val="000000"/>
          <w:sz w:val="40"/>
          <w:szCs w:val="40"/>
        </w:rPr>
        <w:t>20年度整体绩效自评报告</w:t>
      </w:r>
    </w:p>
    <w:p>
      <w:pPr>
        <w:rPr>
          <w:rFonts w:ascii="仿宋_GB2312" w:eastAsia="仿宋_GB2312"/>
          <w:b/>
          <w:bCs/>
          <w:sz w:val="28"/>
          <w:szCs w:val="28"/>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widowControl/>
        <w:spacing w:line="800" w:lineRule="exact"/>
        <w:ind w:right="-168" w:rightChars="-80" w:firstLine="647" w:firstLineChars="230"/>
        <w:jc w:val="left"/>
        <w:rPr>
          <w:rFonts w:ascii="仿宋_GB2312" w:eastAsia="仿宋_GB2312" w:cs="仿宋_GB2312"/>
          <w:b/>
          <w:bCs/>
          <w:kern w:val="32"/>
          <w:sz w:val="28"/>
          <w:szCs w:val="28"/>
        </w:rPr>
      </w:pPr>
    </w:p>
    <w:p>
      <w:pPr>
        <w:pStyle w:val="2"/>
        <w:rPr>
          <w:rFonts w:ascii="仿宋_GB2312" w:eastAsia="仿宋_GB2312" w:cs="仿宋_GB2312"/>
          <w:b/>
          <w:bCs/>
          <w:kern w:val="32"/>
          <w:sz w:val="28"/>
          <w:szCs w:val="28"/>
        </w:rPr>
      </w:pPr>
    </w:p>
    <w:p>
      <w:pPr>
        <w:rPr>
          <w:rFonts w:ascii="仿宋_GB2312" w:eastAsia="仿宋_GB2312" w:cs="仿宋_GB2312"/>
          <w:b/>
          <w:bCs/>
          <w:kern w:val="32"/>
          <w:sz w:val="28"/>
          <w:szCs w:val="28"/>
        </w:rPr>
      </w:pPr>
    </w:p>
    <w:p>
      <w:pPr>
        <w:pStyle w:val="2"/>
        <w:rPr>
          <w:rFonts w:ascii="仿宋_GB2312" w:eastAsia="仿宋_GB2312" w:cs="仿宋_GB2312"/>
          <w:b/>
          <w:bCs/>
          <w:kern w:val="32"/>
          <w:sz w:val="28"/>
          <w:szCs w:val="28"/>
        </w:rPr>
      </w:pPr>
    </w:p>
    <w:p>
      <w:pPr>
        <w:rPr>
          <w:rFonts w:ascii="仿宋_GB2312" w:eastAsia="仿宋_GB2312" w:cs="仿宋_GB2312"/>
          <w:b/>
          <w:bCs/>
          <w:kern w:val="32"/>
          <w:sz w:val="28"/>
          <w:szCs w:val="28"/>
        </w:rPr>
      </w:pPr>
    </w:p>
    <w:p>
      <w:pPr>
        <w:pStyle w:val="2"/>
      </w:pPr>
    </w:p>
    <w:p>
      <w:pPr>
        <w:widowControl/>
        <w:spacing w:line="800" w:lineRule="exact"/>
        <w:ind w:right="-168" w:rightChars="-80" w:firstLine="647" w:firstLineChars="230"/>
        <w:jc w:val="left"/>
        <w:rPr>
          <w:rFonts w:ascii="仿宋_GB2312" w:eastAsia="仿宋_GB2312" w:cs="仿宋_GB2312"/>
          <w:b/>
          <w:bCs/>
          <w:kern w:val="32"/>
          <w:sz w:val="28"/>
          <w:szCs w:val="28"/>
        </w:rPr>
      </w:pPr>
      <w:r>
        <w:rPr>
          <w:rFonts w:hint="eastAsia" w:ascii="仿宋_GB2312" w:eastAsia="仿宋_GB2312" w:cs="仿宋_GB2312"/>
          <w:b/>
          <w:bCs/>
          <w:kern w:val="32"/>
          <w:sz w:val="28"/>
          <w:szCs w:val="28"/>
        </w:rPr>
        <w:t>项目名称：2020年度整体绩效</w:t>
      </w:r>
    </w:p>
    <w:p>
      <w:pPr>
        <w:widowControl/>
        <w:spacing w:line="800" w:lineRule="exact"/>
        <w:ind w:right="-168" w:rightChars="-80" w:firstLine="647" w:firstLineChars="230"/>
        <w:jc w:val="left"/>
        <w:rPr>
          <w:rFonts w:ascii="仿宋_GB2312" w:eastAsia="仿宋_GB2312"/>
          <w:b/>
          <w:bCs/>
          <w:kern w:val="32"/>
          <w:sz w:val="28"/>
          <w:szCs w:val="28"/>
        </w:rPr>
      </w:pPr>
      <w:r>
        <w:rPr>
          <w:rFonts w:hint="eastAsia" w:ascii="仿宋_GB2312" w:eastAsia="仿宋_GB2312" w:cs="仿宋_GB2312"/>
          <w:b/>
          <w:bCs/>
          <w:kern w:val="32"/>
          <w:sz w:val="28"/>
          <w:szCs w:val="28"/>
        </w:rPr>
        <w:t>项目编号：鄂正绩评字（</w:t>
      </w:r>
      <w:r>
        <w:rPr>
          <w:rFonts w:ascii="仿宋_GB2312" w:eastAsia="仿宋_GB2312" w:cs="仿宋_GB2312"/>
          <w:b/>
          <w:bCs/>
          <w:kern w:val="32"/>
          <w:sz w:val="28"/>
          <w:szCs w:val="28"/>
          <w:highlight w:val="none"/>
        </w:rPr>
        <w:t>202</w:t>
      </w:r>
      <w:r>
        <w:rPr>
          <w:rFonts w:hint="eastAsia" w:ascii="仿宋_GB2312" w:eastAsia="仿宋_GB2312" w:cs="仿宋_GB2312"/>
          <w:b/>
          <w:bCs/>
          <w:kern w:val="32"/>
          <w:sz w:val="28"/>
          <w:szCs w:val="28"/>
          <w:highlight w:val="none"/>
        </w:rPr>
        <w:t>1）第J013号</w:t>
      </w:r>
    </w:p>
    <w:p>
      <w:pPr>
        <w:widowControl/>
        <w:spacing w:line="800" w:lineRule="exact"/>
        <w:ind w:right="-168" w:rightChars="-80" w:firstLine="647" w:firstLineChars="230"/>
        <w:jc w:val="left"/>
        <w:rPr>
          <w:rFonts w:hint="eastAsia" w:ascii="仿宋_GB2312" w:eastAsia="仿宋_GB2312"/>
          <w:b/>
          <w:bCs/>
          <w:kern w:val="32"/>
          <w:sz w:val="28"/>
          <w:szCs w:val="28"/>
          <w:lang w:eastAsia="zh-CN"/>
        </w:rPr>
      </w:pPr>
      <w:r>
        <w:rPr>
          <w:rFonts w:hint="eastAsia" w:ascii="仿宋_GB2312" w:eastAsia="仿宋_GB2312" w:cs="仿宋_GB2312"/>
          <w:b/>
          <w:bCs/>
          <w:kern w:val="32"/>
          <w:sz w:val="28"/>
          <w:szCs w:val="28"/>
        </w:rPr>
        <w:t>项目单位：武汉市蔡甸区</w:t>
      </w:r>
      <w:r>
        <w:rPr>
          <w:rFonts w:hint="eastAsia" w:ascii="仿宋_GB2312" w:eastAsia="仿宋_GB2312" w:cs="仿宋_GB2312"/>
          <w:b/>
          <w:bCs/>
          <w:kern w:val="32"/>
          <w:sz w:val="28"/>
          <w:szCs w:val="28"/>
          <w:lang w:eastAsia="zh-CN"/>
        </w:rPr>
        <w:t>人民政府办公室</w:t>
      </w:r>
    </w:p>
    <w:p>
      <w:pPr>
        <w:widowControl/>
        <w:spacing w:line="800" w:lineRule="exact"/>
        <w:ind w:right="-168" w:rightChars="-80" w:firstLine="647" w:firstLineChars="230"/>
        <w:jc w:val="left"/>
        <w:rPr>
          <w:rFonts w:ascii="仿宋_GB2312" w:eastAsia="仿宋_GB2312" w:cs="仿宋_GB2312"/>
          <w:b/>
          <w:bCs/>
          <w:kern w:val="32"/>
          <w:sz w:val="28"/>
          <w:szCs w:val="28"/>
        </w:rPr>
      </w:pPr>
      <w:r>
        <w:rPr>
          <w:rFonts w:hint="eastAsia" w:ascii="仿宋_GB2312" w:eastAsia="仿宋_GB2312" w:cs="仿宋_GB2312"/>
          <w:b/>
          <w:bCs/>
          <w:kern w:val="32"/>
          <w:sz w:val="28"/>
          <w:szCs w:val="28"/>
        </w:rPr>
        <w:t>主管部</w:t>
      </w:r>
      <w:r>
        <w:rPr>
          <w:rFonts w:hint="eastAsia" w:ascii="仿宋_GB2312" w:eastAsia="仿宋_GB2312" w:cs="仿宋_GB2312"/>
          <w:b/>
          <w:bCs/>
          <w:kern w:val="32"/>
          <w:sz w:val="28"/>
          <w:szCs w:val="28"/>
          <w:highlight w:val="none"/>
        </w:rPr>
        <w:t>门：武汉市蔡甸区人民政府</w:t>
      </w:r>
    </w:p>
    <w:p>
      <w:pPr>
        <w:widowControl/>
        <w:spacing w:line="800" w:lineRule="exact"/>
        <w:ind w:right="-168" w:rightChars="-80" w:firstLine="3176" w:firstLineChars="1130"/>
        <w:rPr>
          <w:rFonts w:ascii="仿宋_GB2312" w:eastAsia="仿宋_GB2312" w:cs="仿宋_GB2312"/>
          <w:b/>
          <w:bCs/>
          <w:sz w:val="32"/>
          <w:szCs w:val="32"/>
        </w:rPr>
      </w:pPr>
      <w:r>
        <w:rPr>
          <w:rFonts w:ascii="仿宋_GB2312" w:eastAsia="仿宋_GB2312" w:cs="仿宋_GB2312"/>
          <w:b/>
          <w:bCs/>
          <w:kern w:val="32"/>
          <w:sz w:val="28"/>
          <w:szCs w:val="28"/>
        </w:rPr>
        <w:br w:type="page"/>
      </w:r>
      <w:r>
        <w:rPr>
          <w:rFonts w:hint="eastAsia" w:ascii="仿宋_GB2312" w:eastAsia="仿宋_GB2312" w:cs="仿宋_GB2312"/>
          <w:b/>
          <w:bCs/>
          <w:sz w:val="32"/>
          <w:szCs w:val="32"/>
        </w:rPr>
        <w:t>本次绩效结果</w:t>
      </w:r>
    </w:p>
    <w:p>
      <w:pPr>
        <w:spacing w:line="360" w:lineRule="auto"/>
        <w:ind w:firstLine="600" w:firstLineChars="200"/>
        <w:jc w:val="left"/>
        <w:rPr>
          <w:rFonts w:ascii="仿宋" w:eastAsia="仿宋" w:cs="Times New Roman"/>
          <w:sz w:val="30"/>
          <w:szCs w:val="30"/>
        </w:rPr>
      </w:pPr>
      <w:r>
        <w:rPr>
          <w:rFonts w:hint="eastAsia" w:ascii="仿宋" w:eastAsia="仿宋" w:cs="Times New Roman"/>
          <w:sz w:val="30"/>
          <w:szCs w:val="30"/>
        </w:rPr>
        <w:t>根据蔡甸区财政局组织开展财政支出绩效评价的工作安排，湖北正大会计师事务有限责任公司接受武汉市蔡甸区</w:t>
      </w:r>
      <w:r>
        <w:rPr>
          <w:rFonts w:hint="eastAsia" w:ascii="仿宋" w:eastAsia="仿宋" w:cs="Times New Roman"/>
          <w:sz w:val="30"/>
          <w:szCs w:val="30"/>
          <w:lang w:eastAsia="zh-CN"/>
        </w:rPr>
        <w:t>人民政府办公室</w:t>
      </w:r>
      <w:r>
        <w:rPr>
          <w:rFonts w:hint="eastAsia" w:ascii="仿宋" w:eastAsia="仿宋" w:cs="Times New Roman"/>
          <w:sz w:val="30"/>
          <w:szCs w:val="30"/>
        </w:rPr>
        <w:t>的委托</w:t>
      </w:r>
      <w:r>
        <w:rPr>
          <w:rFonts w:ascii="仿宋" w:eastAsia="仿宋" w:cs="Times New Roman"/>
          <w:sz w:val="30"/>
          <w:szCs w:val="30"/>
        </w:rPr>
        <w:t>（以下简称：</w:t>
      </w:r>
      <w:r>
        <w:rPr>
          <w:rFonts w:hint="eastAsia" w:ascii="仿宋" w:eastAsia="仿宋" w:cs="Times New Roman"/>
          <w:sz w:val="30"/>
          <w:szCs w:val="30"/>
        </w:rPr>
        <w:t>区</w:t>
      </w:r>
      <w:r>
        <w:rPr>
          <w:rFonts w:hint="eastAsia" w:ascii="仿宋" w:eastAsia="仿宋" w:cs="Times New Roman"/>
          <w:sz w:val="30"/>
          <w:szCs w:val="30"/>
          <w:lang w:eastAsia="zh-CN"/>
        </w:rPr>
        <w:t>人民政府办公室</w:t>
      </w:r>
      <w:r>
        <w:rPr>
          <w:rFonts w:ascii="仿宋" w:eastAsia="仿宋" w:cs="Times New Roman"/>
          <w:sz w:val="30"/>
          <w:szCs w:val="30"/>
        </w:rPr>
        <w:t>）</w:t>
      </w:r>
      <w:r>
        <w:rPr>
          <w:rFonts w:hint="eastAsia" w:ascii="仿宋" w:eastAsia="仿宋" w:cs="Times New Roman"/>
          <w:sz w:val="30"/>
          <w:szCs w:val="30"/>
        </w:rPr>
        <w:t>，开展对区</w:t>
      </w:r>
      <w:r>
        <w:rPr>
          <w:rFonts w:hint="eastAsia" w:ascii="仿宋" w:eastAsia="仿宋" w:cs="Times New Roman"/>
          <w:sz w:val="30"/>
          <w:szCs w:val="30"/>
          <w:lang w:eastAsia="zh-CN"/>
        </w:rPr>
        <w:t>人民政府办公室</w:t>
      </w:r>
      <w:r>
        <w:rPr>
          <w:rFonts w:hint="eastAsia" w:ascii="仿宋" w:eastAsia="仿宋" w:cs="Times New Roman"/>
          <w:sz w:val="30"/>
          <w:szCs w:val="30"/>
        </w:rPr>
        <w:t>“</w:t>
      </w:r>
      <w:r>
        <w:rPr>
          <w:rFonts w:ascii="仿宋" w:eastAsia="仿宋" w:cs="Times New Roman"/>
          <w:sz w:val="30"/>
          <w:szCs w:val="30"/>
        </w:rPr>
        <w:t>20</w:t>
      </w:r>
      <w:r>
        <w:rPr>
          <w:rFonts w:hint="eastAsia" w:ascii="仿宋" w:eastAsia="仿宋" w:cs="Times New Roman"/>
          <w:sz w:val="30"/>
          <w:szCs w:val="30"/>
        </w:rPr>
        <w:t>20</w:t>
      </w:r>
      <w:r>
        <w:rPr>
          <w:rFonts w:ascii="仿宋" w:eastAsia="仿宋" w:cs="Times New Roman"/>
          <w:sz w:val="30"/>
          <w:szCs w:val="30"/>
        </w:rPr>
        <w:t>年</w:t>
      </w:r>
      <w:r>
        <w:rPr>
          <w:rFonts w:hint="eastAsia" w:ascii="仿宋" w:eastAsia="仿宋" w:cs="Times New Roman"/>
          <w:sz w:val="30"/>
          <w:szCs w:val="30"/>
        </w:rPr>
        <w:t>度整体绩效”</w:t>
      </w:r>
      <w:r>
        <w:rPr>
          <w:rFonts w:ascii="仿宋" w:eastAsia="仿宋" w:cs="Times New Roman"/>
          <w:sz w:val="30"/>
          <w:szCs w:val="30"/>
        </w:rPr>
        <w:t>评价工作</w:t>
      </w:r>
      <w:r>
        <w:rPr>
          <w:rFonts w:hint="eastAsia" w:ascii="仿宋" w:eastAsia="仿宋" w:cs="Times New Roman"/>
          <w:sz w:val="30"/>
          <w:szCs w:val="30"/>
        </w:rPr>
        <w:t>，通过绩效评价，调查了解区</w:t>
      </w:r>
      <w:r>
        <w:rPr>
          <w:rFonts w:hint="eastAsia" w:ascii="仿宋" w:eastAsia="仿宋" w:cs="Times New Roman"/>
          <w:sz w:val="30"/>
          <w:szCs w:val="30"/>
          <w:lang w:eastAsia="zh-CN"/>
        </w:rPr>
        <w:t>人民政府办公室</w:t>
      </w:r>
      <w:r>
        <w:rPr>
          <w:rFonts w:hint="eastAsia" w:ascii="仿宋" w:eastAsia="仿宋" w:cs="Times New Roman"/>
          <w:sz w:val="30"/>
          <w:szCs w:val="30"/>
        </w:rPr>
        <w:t>“</w:t>
      </w:r>
      <w:r>
        <w:rPr>
          <w:rFonts w:ascii="仿宋" w:eastAsia="仿宋" w:cs="Times New Roman"/>
          <w:sz w:val="30"/>
          <w:szCs w:val="30"/>
        </w:rPr>
        <w:t>20</w:t>
      </w:r>
      <w:r>
        <w:rPr>
          <w:rFonts w:hint="eastAsia" w:ascii="仿宋" w:eastAsia="仿宋" w:cs="Times New Roman"/>
          <w:sz w:val="30"/>
          <w:szCs w:val="30"/>
        </w:rPr>
        <w:t>20</w:t>
      </w:r>
      <w:r>
        <w:rPr>
          <w:rFonts w:ascii="仿宋" w:eastAsia="仿宋" w:cs="Times New Roman"/>
          <w:sz w:val="30"/>
          <w:szCs w:val="30"/>
        </w:rPr>
        <w:t>年</w:t>
      </w:r>
      <w:r>
        <w:rPr>
          <w:rFonts w:hint="eastAsia" w:ascii="仿宋" w:eastAsia="仿宋" w:cs="Times New Roman"/>
          <w:sz w:val="30"/>
          <w:szCs w:val="30"/>
        </w:rPr>
        <w:t>度整体绩效”项目在资金投入和管理方面是否符合有关规定和要求，分析衡量项目资金使用的效率、效益和效果是否达到了预期目标，探索和改进项目资金管理方式，为以后年度类似项目的开展提供参考、积累经验。</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通过“</w:t>
      </w:r>
      <w:r>
        <w:rPr>
          <w:rFonts w:ascii="仿宋" w:eastAsia="仿宋" w:cs="Times New Roman"/>
          <w:sz w:val="30"/>
          <w:szCs w:val="30"/>
        </w:rPr>
        <w:t>20</w:t>
      </w:r>
      <w:r>
        <w:rPr>
          <w:rFonts w:hint="eastAsia" w:ascii="仿宋" w:eastAsia="仿宋" w:cs="Times New Roman"/>
          <w:sz w:val="30"/>
          <w:szCs w:val="30"/>
        </w:rPr>
        <w:t>20</w:t>
      </w:r>
      <w:r>
        <w:rPr>
          <w:rFonts w:ascii="仿宋" w:eastAsia="仿宋" w:cs="Times New Roman"/>
          <w:sz w:val="30"/>
          <w:szCs w:val="30"/>
        </w:rPr>
        <w:t>年</w:t>
      </w:r>
      <w:r>
        <w:rPr>
          <w:rFonts w:hint="eastAsia" w:ascii="仿宋" w:eastAsia="仿宋" w:cs="Times New Roman"/>
          <w:sz w:val="30"/>
          <w:szCs w:val="30"/>
        </w:rPr>
        <w:t>度整体绩效”评价，区</w:t>
      </w:r>
      <w:r>
        <w:rPr>
          <w:rFonts w:hint="eastAsia" w:ascii="仿宋" w:eastAsia="仿宋" w:cs="Times New Roman"/>
          <w:sz w:val="30"/>
          <w:szCs w:val="30"/>
          <w:lang w:eastAsia="zh-CN"/>
        </w:rPr>
        <w:t>人民政府办公室</w:t>
      </w:r>
      <w:r>
        <w:rPr>
          <w:rFonts w:hint="eastAsia" w:ascii="仿宋" w:eastAsia="仿宋" w:cs="Times New Roman"/>
          <w:sz w:val="30"/>
          <w:szCs w:val="30"/>
        </w:rPr>
        <w:t>较好完成年度绩效目标，有效做到区级财政资金、绩效评价、上级财政等核心概念。统一技术体系，规范流程。整体评价结果为“良</w:t>
      </w:r>
      <w:r>
        <w:rPr>
          <w:rFonts w:ascii="仿宋" w:eastAsia="仿宋" w:cs="Times New Roman"/>
          <w:sz w:val="30"/>
          <w:szCs w:val="30"/>
        </w:rPr>
        <w:t>好</w:t>
      </w:r>
      <w:r>
        <w:rPr>
          <w:rFonts w:hint="eastAsia" w:ascii="仿宋" w:eastAsia="仿宋" w:cs="Times New Roman"/>
          <w:sz w:val="30"/>
          <w:szCs w:val="30"/>
        </w:rPr>
        <w:t>”</w:t>
      </w:r>
      <w:r>
        <w:rPr>
          <w:rFonts w:ascii="仿宋" w:eastAsia="仿宋" w:cs="Times New Roman"/>
          <w:sz w:val="30"/>
          <w:szCs w:val="30"/>
        </w:rPr>
        <w:t>。</w:t>
      </w:r>
    </w:p>
    <w:p>
      <w:pPr>
        <w:widowControl/>
        <w:jc w:val="left"/>
        <w:rPr>
          <w:rFonts w:ascii="仿宋" w:eastAsia="仿宋" w:cs="Times New Roman"/>
          <w:sz w:val="30"/>
          <w:szCs w:val="30"/>
        </w:rPr>
      </w:pPr>
      <w:r>
        <w:rPr>
          <w:rFonts w:ascii="仿宋" w:eastAsia="仿宋" w:cs="Times New Roman"/>
          <w:sz w:val="30"/>
          <w:szCs w:val="30"/>
        </w:rPr>
        <w:t xml:space="preserve">  </w:t>
      </w:r>
      <w:r>
        <w:rPr>
          <w:rFonts w:hint="eastAsia" w:ascii="仿宋" w:eastAsia="仿宋" w:cs="Times New Roman"/>
          <w:sz w:val="30"/>
          <w:szCs w:val="30"/>
        </w:rPr>
        <w:t xml:space="preserve"> </w:t>
      </w:r>
    </w:p>
    <w:p>
      <w:pPr>
        <w:widowControl/>
        <w:jc w:val="left"/>
        <w:rPr>
          <w:rFonts w:ascii="仿宋" w:eastAsia="仿宋" w:cs="Times New Roman"/>
          <w:sz w:val="30"/>
          <w:szCs w:val="30"/>
        </w:rPr>
      </w:pPr>
    </w:p>
    <w:p>
      <w:pPr>
        <w:widowControl/>
        <w:jc w:val="left"/>
        <w:rPr>
          <w:rFonts w:ascii="仿宋" w:eastAsia="仿宋" w:cs="Times New Roman"/>
          <w:sz w:val="30"/>
          <w:szCs w:val="30"/>
        </w:rPr>
      </w:pPr>
    </w:p>
    <w:p>
      <w:pPr>
        <w:widowControl/>
        <w:jc w:val="left"/>
        <w:rPr>
          <w:rFonts w:ascii="仿宋" w:eastAsia="仿宋" w:cs="Times New Roman"/>
          <w:sz w:val="30"/>
          <w:szCs w:val="30"/>
        </w:rPr>
      </w:pPr>
    </w:p>
    <w:p>
      <w:pPr>
        <w:spacing w:line="360" w:lineRule="auto"/>
        <w:ind w:firstLine="600" w:firstLineChars="200"/>
        <w:jc w:val="center"/>
        <w:rPr>
          <w:rFonts w:ascii="仿宋" w:eastAsia="仿宋" w:cs="Times New Roman"/>
          <w:sz w:val="30"/>
          <w:szCs w:val="30"/>
        </w:rPr>
      </w:pPr>
      <w:r>
        <w:rPr>
          <w:rFonts w:hint="eastAsia" w:ascii="仿宋" w:eastAsia="仿宋" w:cs="Times New Roman"/>
          <w:sz w:val="30"/>
          <w:szCs w:val="30"/>
        </w:rPr>
        <w:t>评价工作组</w:t>
      </w:r>
    </w:p>
    <w:p>
      <w:pPr>
        <w:spacing w:line="360" w:lineRule="auto"/>
        <w:ind w:firstLine="600" w:firstLineChars="200"/>
        <w:jc w:val="left"/>
        <w:rPr>
          <w:rFonts w:ascii="仿宋" w:eastAsia="仿宋" w:cs="Times New Roman"/>
          <w:sz w:val="30"/>
          <w:szCs w:val="30"/>
        </w:rPr>
      </w:pPr>
      <w:r>
        <w:rPr>
          <w:rFonts w:hint="eastAsia" w:ascii="仿宋" w:eastAsia="仿宋" w:cs="Times New Roman"/>
          <w:sz w:val="30"/>
          <w:szCs w:val="30"/>
        </w:rPr>
        <w:t>组长：段建武</w:t>
      </w:r>
    </w:p>
    <w:p>
      <w:pPr>
        <w:spacing w:line="360" w:lineRule="auto"/>
        <w:ind w:firstLine="600" w:firstLineChars="200"/>
        <w:jc w:val="left"/>
        <w:rPr>
          <w:rFonts w:ascii="仿宋" w:eastAsia="仿宋" w:cs="Times New Roman"/>
          <w:sz w:val="30"/>
          <w:szCs w:val="30"/>
        </w:rPr>
      </w:pPr>
      <w:r>
        <w:rPr>
          <w:rFonts w:hint="eastAsia" w:ascii="仿宋" w:eastAsia="仿宋" w:cs="Times New Roman"/>
          <w:sz w:val="30"/>
          <w:szCs w:val="30"/>
        </w:rPr>
        <w:t>评价小组成员：</w:t>
      </w:r>
      <w:bookmarkStart w:id="0" w:name="_Toc532223567"/>
      <w:r>
        <w:rPr>
          <w:rFonts w:hint="eastAsia" w:ascii="仿宋" w:eastAsia="仿宋" w:cs="Times New Roman"/>
          <w:sz w:val="30"/>
          <w:szCs w:val="30"/>
        </w:rPr>
        <w:t>张蓉、陶余梦、李甜</w:t>
      </w:r>
    </w:p>
    <w:p>
      <w:pPr>
        <w:spacing w:line="360" w:lineRule="auto"/>
        <w:rPr>
          <w:rFonts w:ascii="仿宋_GB2312" w:eastAsia="仿宋_GB2312" w:cs="仿宋_GB2312"/>
          <w:b/>
          <w:bCs/>
          <w:sz w:val="44"/>
          <w:szCs w:val="44"/>
        </w:rPr>
      </w:pPr>
    </w:p>
    <w:p>
      <w:pPr>
        <w:pStyle w:val="2"/>
      </w:pPr>
    </w:p>
    <w:p/>
    <w:p>
      <w:pPr>
        <w:spacing w:line="360" w:lineRule="auto"/>
        <w:jc w:val="center"/>
        <w:outlineLvl w:val="0"/>
        <w:rPr>
          <w:rFonts w:ascii="仿宋_GB2312" w:eastAsia="仿宋_GB2312"/>
          <w:b/>
          <w:bCs/>
          <w:sz w:val="44"/>
          <w:szCs w:val="44"/>
        </w:rPr>
      </w:pPr>
      <w:r>
        <w:rPr>
          <w:rFonts w:hint="eastAsia" w:ascii="仿宋_GB2312" w:eastAsia="仿宋_GB2312" w:cs="仿宋_GB2312"/>
          <w:b/>
          <w:bCs/>
          <w:sz w:val="44"/>
          <w:szCs w:val="44"/>
        </w:rPr>
        <w:t>摘</w:t>
      </w:r>
      <w:r>
        <w:rPr>
          <w:rFonts w:hint="eastAsia" w:ascii="仿宋_GB2312" w:eastAsia="仿宋_GB2312" w:cs="Arial Narrow"/>
          <w:b/>
          <w:bCs/>
          <w:sz w:val="44"/>
          <w:szCs w:val="44"/>
        </w:rPr>
        <w:t xml:space="preserve">  </w:t>
      </w:r>
      <w:r>
        <w:rPr>
          <w:rFonts w:hint="eastAsia" w:ascii="仿宋_GB2312" w:eastAsia="仿宋_GB2312" w:cs="仿宋_GB2312"/>
          <w:b/>
          <w:bCs/>
          <w:sz w:val="44"/>
          <w:szCs w:val="44"/>
        </w:rPr>
        <w:t>要</w:t>
      </w:r>
      <w:bookmarkEnd w:id="0"/>
    </w:p>
    <w:p>
      <w:pPr>
        <w:spacing w:line="560" w:lineRule="exact"/>
        <w:ind w:firstLine="626" w:firstLineChars="195"/>
        <w:rPr>
          <w:rFonts w:ascii="仿宋" w:eastAsia="仿宋" w:cs="仿宋_GB2312"/>
          <w:b/>
          <w:bCs/>
          <w:color w:val="4C5157"/>
          <w:kern w:val="0"/>
          <w:sz w:val="32"/>
          <w:szCs w:val="32"/>
        </w:rPr>
      </w:pPr>
      <w:r>
        <w:rPr>
          <w:rFonts w:hint="eastAsia" w:ascii="仿宋" w:eastAsia="仿宋" w:cs="仿宋_GB2312"/>
          <w:b/>
          <w:bCs/>
          <w:color w:val="4C5157"/>
          <w:kern w:val="0"/>
          <w:sz w:val="32"/>
          <w:szCs w:val="32"/>
        </w:rPr>
        <w:t>概述</w:t>
      </w:r>
    </w:p>
    <w:p>
      <w:pPr>
        <w:spacing w:line="360" w:lineRule="auto"/>
        <w:ind w:firstLine="600" w:firstLineChars="200"/>
        <w:rPr>
          <w:rFonts w:hint="eastAsia" w:ascii="仿宋" w:eastAsia="仿宋" w:cs="Times New Roman"/>
          <w:sz w:val="30"/>
          <w:szCs w:val="30"/>
        </w:rPr>
      </w:pPr>
      <w:bookmarkStart w:id="1" w:name="_Hlk40363032"/>
      <w:r>
        <w:rPr>
          <w:rFonts w:hint="eastAsia" w:ascii="仿宋" w:eastAsia="仿宋" w:cs="Times New Roman"/>
          <w:sz w:val="30"/>
          <w:szCs w:val="30"/>
        </w:rPr>
        <w:t>为落实中央政策，进一步深化预算体制改革，切实加强财政资金的管理，充分发挥财政资金的使用效益，湖北正大会计师事务有限责任公司组织成立评价小组，评价小组根据《中华人民共和国预算法》、《湖北省人民代表大会常务委员会关于进一步推进预算绩效管理的决定》、《蔡甸区财政局关于印发&lt;全面实施预算绩效管理系列制度&gt;的通知》（蔡财［2020］8号）、《蔡甸区财政局关于开展2021年区级财政支出绩效评价工作的通知》（蔡财［2021］1号）等要求，秉承第三方评价应遵循的独立、客观、公平、公正原则，实施了必要的评价程序，完成了区</w:t>
      </w:r>
      <w:r>
        <w:rPr>
          <w:rFonts w:hint="eastAsia" w:ascii="仿宋" w:eastAsia="仿宋" w:cs="Times New Roman"/>
          <w:sz w:val="30"/>
          <w:szCs w:val="30"/>
          <w:lang w:eastAsia="zh-CN"/>
        </w:rPr>
        <w:t>人民政府办公室</w:t>
      </w:r>
      <w:r>
        <w:rPr>
          <w:rFonts w:hint="eastAsia" w:ascii="仿宋" w:eastAsia="仿宋" w:cs="Times New Roman"/>
          <w:sz w:val="30"/>
          <w:szCs w:val="30"/>
        </w:rPr>
        <w:t>“</w:t>
      </w:r>
      <w:r>
        <w:rPr>
          <w:rFonts w:ascii="仿宋" w:eastAsia="仿宋" w:cs="Times New Roman"/>
          <w:sz w:val="30"/>
          <w:szCs w:val="30"/>
        </w:rPr>
        <w:t>20</w:t>
      </w:r>
      <w:r>
        <w:rPr>
          <w:rFonts w:hint="eastAsia" w:ascii="仿宋" w:eastAsia="仿宋" w:cs="Times New Roman"/>
          <w:sz w:val="30"/>
          <w:szCs w:val="30"/>
        </w:rPr>
        <w:t>20</w:t>
      </w:r>
      <w:r>
        <w:rPr>
          <w:rFonts w:ascii="仿宋" w:eastAsia="仿宋" w:cs="Times New Roman"/>
          <w:sz w:val="30"/>
          <w:szCs w:val="30"/>
        </w:rPr>
        <w:t>年</w:t>
      </w:r>
      <w:r>
        <w:rPr>
          <w:rFonts w:hint="eastAsia" w:ascii="仿宋" w:eastAsia="仿宋" w:cs="Times New Roman"/>
          <w:sz w:val="30"/>
          <w:szCs w:val="30"/>
        </w:rPr>
        <w:t>度整体绩效”评价的产</w:t>
      </w:r>
      <w:r>
        <w:rPr>
          <w:rFonts w:hint="eastAsia" w:ascii="仿宋" w:eastAsia="仿宋" w:cs="Times New Roman"/>
          <w:sz w:val="28"/>
          <w:szCs w:val="28"/>
        </w:rPr>
        <w:t>出</w:t>
      </w:r>
      <w:r>
        <w:rPr>
          <w:rFonts w:hint="eastAsia" w:ascii="仿宋" w:eastAsia="仿宋" w:cs="Times New Roman"/>
          <w:sz w:val="30"/>
          <w:szCs w:val="30"/>
        </w:rPr>
        <w:t>指标、效益指标、满意度指标的绩效评价工作，并撰写区</w:t>
      </w:r>
      <w:r>
        <w:rPr>
          <w:rFonts w:hint="eastAsia" w:ascii="仿宋" w:eastAsia="仿宋" w:cs="Times New Roman"/>
          <w:sz w:val="30"/>
          <w:szCs w:val="30"/>
          <w:lang w:eastAsia="zh-CN"/>
        </w:rPr>
        <w:t>人民政府办公室</w:t>
      </w:r>
      <w:r>
        <w:rPr>
          <w:rFonts w:hint="eastAsia" w:ascii="仿宋" w:eastAsia="仿宋" w:cs="Times New Roman"/>
          <w:sz w:val="30"/>
          <w:szCs w:val="30"/>
        </w:rPr>
        <w:t>“2020年度整体绩效”评价报告。</w:t>
      </w:r>
    </w:p>
    <w:bookmarkEnd w:id="1"/>
    <w:p>
      <w:pPr>
        <w:pStyle w:val="9"/>
        <w:spacing w:after="120" w:afterAutospacing="0"/>
        <w:ind w:left="900"/>
        <w:jc w:val="both"/>
        <w:rPr>
          <w:rFonts w:ascii="仿宋" w:eastAsia="仿宋" w:cs="仿宋_GB2312"/>
          <w:color w:val="4C5157"/>
          <w:sz w:val="32"/>
          <w:szCs w:val="32"/>
        </w:rPr>
      </w:pPr>
    </w:p>
    <w:p>
      <w:pPr>
        <w:pStyle w:val="9"/>
        <w:spacing w:after="120" w:afterAutospacing="0"/>
        <w:ind w:left="900"/>
        <w:jc w:val="both"/>
        <w:rPr>
          <w:rFonts w:ascii="仿宋" w:eastAsia="仿宋" w:cs="仿宋_GB2312"/>
          <w:color w:val="4C5157"/>
          <w:sz w:val="32"/>
          <w:szCs w:val="32"/>
        </w:rPr>
      </w:pPr>
    </w:p>
    <w:p>
      <w:pPr>
        <w:pStyle w:val="9"/>
        <w:spacing w:after="120" w:afterAutospacing="0"/>
        <w:ind w:left="900"/>
        <w:jc w:val="both"/>
        <w:rPr>
          <w:rFonts w:ascii="仿宋" w:eastAsia="仿宋" w:cs="仿宋_GB2312"/>
          <w:color w:val="4C5157"/>
          <w:sz w:val="32"/>
          <w:szCs w:val="32"/>
        </w:rPr>
      </w:pPr>
    </w:p>
    <w:p>
      <w:pPr>
        <w:pStyle w:val="9"/>
        <w:spacing w:after="120" w:afterAutospacing="0"/>
        <w:ind w:left="900"/>
        <w:jc w:val="both"/>
        <w:rPr>
          <w:rFonts w:ascii="仿宋" w:eastAsia="仿宋" w:cs="仿宋_GB2312"/>
          <w:color w:val="4C5157"/>
          <w:sz w:val="32"/>
          <w:szCs w:val="32"/>
        </w:rPr>
      </w:pPr>
    </w:p>
    <w:p>
      <w:pPr>
        <w:pStyle w:val="9"/>
        <w:spacing w:after="120" w:afterAutospacing="0"/>
        <w:ind w:left="900"/>
        <w:jc w:val="both"/>
        <w:rPr>
          <w:rFonts w:ascii="仿宋" w:eastAsia="仿宋" w:cs="仿宋_GB2312"/>
          <w:color w:val="4C5157"/>
          <w:sz w:val="32"/>
          <w:szCs w:val="32"/>
        </w:rPr>
      </w:pPr>
    </w:p>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一、</w:t>
      </w:r>
      <w:bookmarkStart w:id="2" w:name="_Hlk10728951"/>
      <w:r>
        <w:rPr>
          <w:rFonts w:hint="eastAsia" w:ascii="黑体" w:eastAsia="黑体" w:cs="Times New Roman"/>
          <w:bCs/>
          <w:color w:val="000000"/>
          <w:sz w:val="30"/>
          <w:szCs w:val="30"/>
        </w:rPr>
        <w:t>绩效目标完成情况</w:t>
      </w:r>
      <w:bookmarkEnd w:id="2"/>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1.执行率情况</w:t>
      </w:r>
    </w:p>
    <w:p>
      <w:pPr>
        <w:spacing w:line="360" w:lineRule="auto"/>
        <w:ind w:firstLine="600" w:firstLineChars="200"/>
        <w:rPr>
          <w:rFonts w:hint="eastAsia" w:ascii="仿宋" w:eastAsia="仿宋" w:cs="Times New Roman"/>
          <w:sz w:val="30"/>
          <w:szCs w:val="30"/>
          <w:highlight w:val="yellow"/>
        </w:rPr>
      </w:pPr>
      <w:r>
        <w:rPr>
          <w:rFonts w:hint="eastAsia" w:ascii="仿宋" w:eastAsia="仿宋" w:cs="Times New Roman"/>
          <w:sz w:val="30"/>
          <w:szCs w:val="30"/>
        </w:rPr>
        <w:t>区</w:t>
      </w:r>
      <w:r>
        <w:rPr>
          <w:rFonts w:hint="eastAsia" w:ascii="仿宋" w:eastAsia="仿宋" w:cs="Times New Roman"/>
          <w:sz w:val="30"/>
          <w:szCs w:val="30"/>
          <w:lang w:eastAsia="zh-CN"/>
        </w:rPr>
        <w:t>人民政府办公室</w:t>
      </w:r>
      <w:r>
        <w:rPr>
          <w:rFonts w:hint="eastAsia" w:ascii="仿宋" w:eastAsia="仿宋" w:cs="Times New Roman"/>
          <w:sz w:val="30"/>
          <w:szCs w:val="30"/>
        </w:rPr>
        <w:t>2020年度部门年初预算收入(一般公共预算财政拨款收入)</w:t>
      </w:r>
      <w:r>
        <w:rPr>
          <w:rFonts w:hint="eastAsia" w:ascii="仿宋" w:eastAsia="仿宋" w:cs="Times New Roman"/>
          <w:sz w:val="30"/>
          <w:szCs w:val="30"/>
          <w:highlight w:val="none"/>
        </w:rPr>
        <w:t>1,568.90</w:t>
      </w:r>
      <w:r>
        <w:rPr>
          <w:rFonts w:hint="eastAsia" w:ascii="仿宋" w:eastAsia="仿宋" w:cs="Times New Roman"/>
          <w:sz w:val="30"/>
          <w:szCs w:val="30"/>
        </w:rPr>
        <w:t>万元，调整预算数</w:t>
      </w:r>
      <w:r>
        <w:rPr>
          <w:rFonts w:hint="eastAsia" w:ascii="仿宋" w:eastAsia="仿宋" w:cs="Times New Roman"/>
          <w:sz w:val="30"/>
          <w:szCs w:val="30"/>
          <w:lang w:val="en-US" w:eastAsia="zh-CN"/>
        </w:rPr>
        <w:t>2,372.96</w:t>
      </w:r>
      <w:r>
        <w:rPr>
          <w:rFonts w:hint="eastAsia" w:ascii="仿宋" w:eastAsia="仿宋" w:cs="Times New Roman"/>
          <w:sz w:val="30"/>
          <w:szCs w:val="30"/>
        </w:rPr>
        <w:t>万元,其中：调整一般公共预算财政拨款收入2,141.50 万元，调整其他收入10.60万元，调整年初结转和结余220.86万元。实际预算</w:t>
      </w:r>
      <w:r>
        <w:rPr>
          <w:rFonts w:hint="eastAsia" w:ascii="仿宋" w:eastAsia="仿宋" w:cs="Times New Roman"/>
          <w:sz w:val="30"/>
          <w:szCs w:val="30"/>
          <w:highlight w:val="none"/>
        </w:rPr>
        <w:t>支出2,152.10万元。其中：基本支出1,144.19万元，项目支出1,007.91万元</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执行率137.17%。年末结转和结余220.86万元</w:t>
      </w:r>
      <w:r>
        <w:rPr>
          <w:rFonts w:hint="eastAsia" w:ascii="仿宋" w:eastAsia="仿宋" w:cs="Times New Roman"/>
          <w:sz w:val="30"/>
          <w:szCs w:val="30"/>
          <w:highlight w:val="none"/>
          <w:lang w:eastAsia="zh-CN"/>
        </w:rPr>
        <w:t>。</w:t>
      </w:r>
    </w:p>
    <w:p>
      <w:pPr>
        <w:pStyle w:val="2"/>
      </w:pP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2.完成的绩效目标</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区</w:t>
      </w:r>
      <w:r>
        <w:rPr>
          <w:rFonts w:hint="eastAsia" w:ascii="仿宋" w:eastAsia="仿宋" w:cs="Times New Roman"/>
          <w:sz w:val="30"/>
          <w:szCs w:val="30"/>
          <w:lang w:eastAsia="zh-CN"/>
        </w:rPr>
        <w:t>人民政府办公室</w:t>
      </w:r>
      <w:r>
        <w:rPr>
          <w:rFonts w:hint="eastAsia" w:ascii="仿宋" w:eastAsia="仿宋" w:cs="Times New Roman"/>
          <w:sz w:val="30"/>
          <w:szCs w:val="30"/>
        </w:rPr>
        <w:t>紧紧围绕中心开展2020年度绩效目标各项工作任务。通过评价各个绩效目标，均完成年度绩效目标任务。</w:t>
      </w:r>
    </w:p>
    <w:p>
      <w:pPr>
        <w:pStyle w:val="2"/>
        <w:ind w:left="0" w:leftChars="0" w:firstLine="0" w:firstLineChars="0"/>
        <w:rPr>
          <w:rFonts w:ascii="仿宋" w:eastAsia="仿宋" w:cs="Times New Roman"/>
          <w:sz w:val="30"/>
          <w:szCs w:val="30"/>
        </w:rPr>
      </w:pPr>
      <w:r>
        <w:rPr>
          <w:rFonts w:hint="eastAsia" w:ascii="仿宋" w:eastAsia="仿宋" w:cs="Times New Roman"/>
          <w:sz w:val="30"/>
          <w:szCs w:val="30"/>
        </w:rPr>
        <w:t xml:space="preserve">    年度绩效目标：1.政务督查，区政府工作报告督办落实率100%，报告获人大代表通过率90%以上；省、市、区领导交办重要批示件督办督查率100%</w:t>
      </w:r>
      <w:r>
        <w:rPr>
          <w:rFonts w:hint="eastAsia" w:ascii="仿宋" w:eastAsia="仿宋" w:cs="Times New Roman"/>
          <w:sz w:val="30"/>
          <w:szCs w:val="30"/>
          <w:lang w:eastAsia="zh-CN"/>
        </w:rPr>
        <w:t>；</w:t>
      </w:r>
      <w:r>
        <w:rPr>
          <w:rFonts w:hint="eastAsia" w:ascii="仿宋" w:eastAsia="仿宋" w:cs="Times New Roman"/>
          <w:sz w:val="30"/>
          <w:szCs w:val="30"/>
          <w:lang w:val="en-US" w:eastAsia="zh-CN"/>
        </w:rPr>
        <w:t>2.</w:t>
      </w:r>
      <w:r>
        <w:rPr>
          <w:rFonts w:hint="eastAsia" w:ascii="仿宋" w:eastAsia="仿宋" w:cs="Times New Roman"/>
          <w:sz w:val="30"/>
          <w:szCs w:val="30"/>
        </w:rPr>
        <w:t>议提案办理，议提案办复率100%、见面率100%、满意率和基本满意率95%以上</w:t>
      </w:r>
      <w:r>
        <w:rPr>
          <w:rFonts w:hint="eastAsia" w:ascii="仿宋" w:eastAsia="仿宋" w:cs="Times New Roman"/>
          <w:sz w:val="30"/>
          <w:szCs w:val="30"/>
          <w:lang w:eastAsia="zh-CN"/>
        </w:rPr>
        <w:t>；</w:t>
      </w:r>
      <w:r>
        <w:rPr>
          <w:rFonts w:hint="eastAsia" w:ascii="仿宋" w:eastAsia="仿宋" w:cs="Times New Roman"/>
          <w:sz w:val="30"/>
          <w:szCs w:val="30"/>
          <w:lang w:val="en-US" w:eastAsia="zh-CN"/>
        </w:rPr>
        <w:t>3.</w:t>
      </w:r>
      <w:r>
        <w:rPr>
          <w:rFonts w:hint="eastAsia" w:ascii="仿宋" w:eastAsia="仿宋" w:cs="Times New Roman"/>
          <w:sz w:val="30"/>
          <w:szCs w:val="30"/>
        </w:rPr>
        <w:t>调研工作，围绕区委区政府重大决策撰写调研报告等专报数量不低于上年，调研成果转化率85%以上，综合文稿采用率95%以上</w:t>
      </w:r>
      <w:r>
        <w:rPr>
          <w:rFonts w:hint="eastAsia" w:ascii="仿宋" w:eastAsia="仿宋" w:cs="Times New Roman"/>
          <w:sz w:val="30"/>
          <w:szCs w:val="30"/>
          <w:lang w:eastAsia="zh-CN"/>
        </w:rPr>
        <w:t>；</w:t>
      </w:r>
      <w:r>
        <w:rPr>
          <w:rFonts w:hint="eastAsia" w:ascii="仿宋" w:eastAsia="仿宋" w:cs="Times New Roman"/>
          <w:sz w:val="30"/>
          <w:szCs w:val="30"/>
          <w:lang w:val="en-US" w:eastAsia="zh-CN"/>
        </w:rPr>
        <w:t>4.</w:t>
      </w:r>
      <w:r>
        <w:rPr>
          <w:rFonts w:hint="eastAsia" w:ascii="仿宋" w:eastAsia="仿宋" w:cs="Times New Roman"/>
          <w:sz w:val="30"/>
          <w:szCs w:val="30"/>
        </w:rPr>
        <w:t>以文辅政，围绕区委区政府中心工作，向区政府领导提供深度信息资料8篇以上；重大信息被省市采用5条以上</w:t>
      </w:r>
      <w:r>
        <w:rPr>
          <w:rFonts w:hint="eastAsia" w:ascii="仿宋" w:eastAsia="仿宋" w:cs="Times New Roman"/>
          <w:sz w:val="30"/>
          <w:szCs w:val="30"/>
          <w:lang w:eastAsia="zh-CN"/>
        </w:rPr>
        <w:t>；</w:t>
      </w:r>
      <w:r>
        <w:rPr>
          <w:rFonts w:hint="eastAsia" w:ascii="仿宋" w:eastAsia="仿宋" w:cs="Times New Roman"/>
          <w:sz w:val="30"/>
          <w:szCs w:val="30"/>
          <w:lang w:val="en-US" w:eastAsia="zh-CN"/>
        </w:rPr>
        <w:t>5.</w:t>
      </w:r>
      <w:r>
        <w:rPr>
          <w:rFonts w:hint="eastAsia" w:ascii="仿宋" w:eastAsia="仿宋" w:cs="Times New Roman"/>
          <w:sz w:val="30"/>
          <w:szCs w:val="30"/>
        </w:rPr>
        <w:t>精文减会，进一步落实发文审签和会议审批制度，全年以区政府或区政办名义制发的文件数和全区性会议数均不高于上年</w:t>
      </w:r>
      <w:r>
        <w:rPr>
          <w:rFonts w:hint="eastAsia" w:ascii="仿宋" w:eastAsia="仿宋" w:cs="Times New Roman"/>
          <w:sz w:val="30"/>
          <w:szCs w:val="30"/>
          <w:lang w:eastAsia="zh-CN"/>
        </w:rPr>
        <w:t>；</w:t>
      </w:r>
      <w:r>
        <w:rPr>
          <w:rFonts w:hint="eastAsia" w:ascii="仿宋" w:eastAsia="仿宋" w:cs="Times New Roman"/>
          <w:sz w:val="30"/>
          <w:szCs w:val="30"/>
          <w:lang w:val="en-US" w:eastAsia="zh-CN"/>
        </w:rPr>
        <w:t>6.</w:t>
      </w:r>
      <w:r>
        <w:rPr>
          <w:rFonts w:hint="eastAsia" w:ascii="仿宋" w:eastAsia="仿宋" w:cs="Times New Roman"/>
          <w:sz w:val="30"/>
          <w:szCs w:val="30"/>
        </w:rPr>
        <w:t>脱贫攻坚，减贫与巩固成效、精准识别与动态监测、精准施策落实情况、基本生产生活条件改善、财政扶贫资金管理使用、扶贫开发主体责任落实等</w:t>
      </w:r>
      <w:r>
        <w:rPr>
          <w:rFonts w:hint="eastAsia" w:ascii="仿宋" w:eastAsia="仿宋" w:cs="Times New Roman"/>
          <w:sz w:val="30"/>
          <w:szCs w:val="30"/>
          <w:lang w:eastAsia="zh-CN"/>
        </w:rPr>
        <w:t>；</w:t>
      </w:r>
      <w:r>
        <w:rPr>
          <w:rFonts w:hint="eastAsia" w:ascii="仿宋" w:eastAsia="仿宋" w:cs="Times New Roman"/>
          <w:sz w:val="30"/>
          <w:szCs w:val="30"/>
          <w:lang w:val="en-US" w:eastAsia="zh-CN"/>
        </w:rPr>
        <w:t>7.</w:t>
      </w:r>
      <w:r>
        <w:rPr>
          <w:rFonts w:hint="eastAsia" w:ascii="仿宋" w:eastAsia="仿宋" w:cs="Times New Roman"/>
          <w:sz w:val="30"/>
          <w:szCs w:val="30"/>
        </w:rPr>
        <w:t>防范金融风险，非法集资发案数低于全市平均水平</w:t>
      </w:r>
      <w:r>
        <w:rPr>
          <w:rFonts w:hint="eastAsia" w:ascii="仿宋" w:eastAsia="仿宋" w:cs="Times New Roman"/>
          <w:sz w:val="30"/>
          <w:szCs w:val="30"/>
          <w:lang w:eastAsia="zh-CN"/>
        </w:rPr>
        <w:t>；</w:t>
      </w:r>
      <w:r>
        <w:rPr>
          <w:rFonts w:hint="eastAsia" w:ascii="仿宋" w:eastAsia="仿宋" w:cs="Times New Roman"/>
          <w:sz w:val="30"/>
          <w:szCs w:val="30"/>
          <w:lang w:val="en-US" w:eastAsia="zh-CN"/>
        </w:rPr>
        <w:t>8.</w:t>
      </w:r>
      <w:r>
        <w:rPr>
          <w:rFonts w:hint="eastAsia" w:ascii="仿宋" w:eastAsia="仿宋" w:cs="Times New Roman"/>
          <w:sz w:val="30"/>
          <w:szCs w:val="30"/>
        </w:rPr>
        <w:t>重点工作协调督办，加强中德产业园、地铁小镇、嵩阳大道乡村振兴示范带建设和教育资源均衡发展等重点工作的协调督办，确保重点工作顺利推进</w:t>
      </w:r>
      <w:r>
        <w:rPr>
          <w:rFonts w:hint="eastAsia" w:ascii="仿宋" w:eastAsia="仿宋" w:cs="Times New Roman"/>
          <w:sz w:val="30"/>
          <w:szCs w:val="30"/>
          <w:lang w:eastAsia="zh-CN"/>
        </w:rPr>
        <w:t>；</w:t>
      </w:r>
      <w:r>
        <w:rPr>
          <w:rFonts w:hint="eastAsia" w:ascii="仿宋" w:eastAsia="仿宋" w:cs="Times New Roman"/>
          <w:sz w:val="30"/>
          <w:szCs w:val="30"/>
          <w:lang w:val="en-US" w:eastAsia="zh-CN"/>
        </w:rPr>
        <w:t>9.</w:t>
      </w:r>
      <w:r>
        <w:rPr>
          <w:rFonts w:hint="eastAsia" w:ascii="仿宋" w:eastAsia="仿宋" w:cs="Times New Roman"/>
          <w:sz w:val="30"/>
          <w:szCs w:val="30"/>
        </w:rPr>
        <w:t>优化营商环境；中央、省生态环保督察反馈问题整改</w:t>
      </w:r>
      <w:r>
        <w:rPr>
          <w:rFonts w:hint="eastAsia" w:ascii="仿宋" w:eastAsia="仿宋" w:cs="Times New Roman"/>
          <w:sz w:val="30"/>
          <w:szCs w:val="30"/>
          <w:lang w:eastAsia="zh-CN"/>
        </w:rPr>
        <w:t>。</w:t>
      </w:r>
      <w:r>
        <w:rPr>
          <w:rFonts w:hint="eastAsia" w:ascii="仿宋" w:eastAsia="仿宋" w:cs="Times New Roman"/>
          <w:sz w:val="30"/>
          <w:szCs w:val="30"/>
        </w:rPr>
        <w:t>实际完成值达到年初目标值，部分项目超过年初目标值。经济效益显著。</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3.未完成的绩效目标</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区</w:t>
      </w:r>
      <w:r>
        <w:rPr>
          <w:rFonts w:hint="eastAsia" w:ascii="仿宋" w:eastAsia="仿宋" w:cs="Times New Roman"/>
          <w:sz w:val="30"/>
          <w:szCs w:val="30"/>
          <w:lang w:eastAsia="zh-CN"/>
        </w:rPr>
        <w:t>人民政府办公室</w:t>
      </w:r>
      <w:r>
        <w:rPr>
          <w:rFonts w:hint="eastAsia" w:ascii="仿宋" w:eastAsia="仿宋" w:cs="Times New Roman"/>
          <w:sz w:val="30"/>
          <w:szCs w:val="30"/>
        </w:rPr>
        <w:t>较好完成2020年度部门预算及</w:t>
      </w:r>
      <w:r>
        <w:rPr>
          <w:rFonts w:hint="eastAsia" w:ascii="仿宋" w:eastAsia="仿宋" w:cs="Times New Roman"/>
          <w:sz w:val="30"/>
          <w:szCs w:val="30"/>
          <w:lang w:val="en-US" w:eastAsia="zh-CN"/>
        </w:rPr>
        <w:t>9</w:t>
      </w:r>
      <w:r>
        <w:rPr>
          <w:rFonts w:hint="eastAsia" w:ascii="仿宋" w:eastAsia="仿宋" w:cs="Times New Roman"/>
          <w:sz w:val="30"/>
          <w:szCs w:val="30"/>
        </w:rPr>
        <w:t>个项目绩效目标，整体完成较好。</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二、绩效目标完成情况分析</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1.预算执行情况分析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①预算完成情况</w:t>
      </w:r>
    </w:p>
    <w:p>
      <w:pPr>
        <w:spacing w:line="360" w:lineRule="auto"/>
        <w:ind w:firstLine="600" w:firstLineChars="200"/>
        <w:rPr>
          <w:rFonts w:hint="eastAsia" w:ascii="仿宋" w:eastAsia="仿宋" w:cs="Times New Roman"/>
          <w:sz w:val="30"/>
          <w:szCs w:val="30"/>
          <w:highlight w:val="none"/>
        </w:rPr>
      </w:pPr>
      <w:r>
        <w:rPr>
          <w:rFonts w:hint="eastAsia" w:ascii="仿宋" w:eastAsia="仿宋" w:cs="Times New Roman"/>
          <w:sz w:val="30"/>
          <w:szCs w:val="30"/>
        </w:rPr>
        <w:t>2020年度部门年初预算收入(一般公共预算财政拨款收入)</w:t>
      </w:r>
      <w:r>
        <w:rPr>
          <w:rFonts w:hint="eastAsia" w:ascii="仿宋" w:eastAsia="仿宋" w:cs="Times New Roman"/>
          <w:sz w:val="30"/>
          <w:szCs w:val="30"/>
          <w:highlight w:val="none"/>
        </w:rPr>
        <w:t>1,568.90</w:t>
      </w:r>
      <w:r>
        <w:rPr>
          <w:rFonts w:hint="eastAsia" w:ascii="仿宋" w:eastAsia="仿宋" w:cs="Times New Roman"/>
          <w:sz w:val="30"/>
          <w:szCs w:val="30"/>
        </w:rPr>
        <w:t>万元，调整预算数</w:t>
      </w:r>
      <w:r>
        <w:rPr>
          <w:rFonts w:hint="eastAsia" w:ascii="仿宋" w:eastAsia="仿宋" w:cs="Times New Roman"/>
          <w:sz w:val="30"/>
          <w:szCs w:val="30"/>
          <w:lang w:val="en-US" w:eastAsia="zh-CN"/>
        </w:rPr>
        <w:t>2,372.96</w:t>
      </w:r>
      <w:r>
        <w:rPr>
          <w:rFonts w:hint="eastAsia" w:ascii="仿宋" w:eastAsia="仿宋" w:cs="Times New Roman"/>
          <w:sz w:val="30"/>
          <w:szCs w:val="30"/>
        </w:rPr>
        <w:t>万元,其中：调整一般公共预算财政拨款收入2,141.50 万元，调整其他收入10.60万元，调整年初结转和结余220.86万元。实际预算</w:t>
      </w:r>
      <w:r>
        <w:rPr>
          <w:rFonts w:hint="eastAsia" w:ascii="仿宋" w:eastAsia="仿宋" w:cs="Times New Roman"/>
          <w:sz w:val="30"/>
          <w:szCs w:val="30"/>
          <w:highlight w:val="none"/>
        </w:rPr>
        <w:t>支出2,152.10万元。其中：基本支出1,144.19万元，项目支出1,007.91万元</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执行率137.17%。年末结转和结余220.86万元</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明细如下：</w:t>
      </w:r>
    </w:p>
    <w:p>
      <w:pPr>
        <w:pStyle w:val="2"/>
        <w:ind w:firstLine="562"/>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部门整体</w:t>
      </w:r>
      <w:r>
        <w:rPr>
          <w:rFonts w:hint="eastAsia" w:ascii="仿宋" w:hAnsi="仿宋" w:eastAsia="仿宋" w:cs="宋体"/>
          <w:b/>
          <w:bCs/>
          <w:color w:val="000000"/>
          <w:kern w:val="0"/>
          <w:sz w:val="28"/>
          <w:szCs w:val="28"/>
          <w:lang w:eastAsia="zh-CN"/>
        </w:rPr>
        <w:t>决</w:t>
      </w:r>
      <w:r>
        <w:rPr>
          <w:rFonts w:hint="eastAsia" w:ascii="仿宋" w:hAnsi="仿宋" w:eastAsia="仿宋" w:cs="宋体"/>
          <w:b/>
          <w:bCs/>
          <w:color w:val="000000"/>
          <w:kern w:val="0"/>
          <w:sz w:val="28"/>
          <w:szCs w:val="28"/>
        </w:rPr>
        <w:t>算</w:t>
      </w:r>
      <w:r>
        <w:rPr>
          <w:rFonts w:hint="eastAsia" w:ascii="仿宋" w:hAnsi="仿宋" w:eastAsia="仿宋" w:cs="宋体"/>
          <w:b/>
          <w:bCs/>
          <w:color w:val="000000"/>
          <w:kern w:val="0"/>
          <w:sz w:val="28"/>
          <w:szCs w:val="28"/>
          <w:lang w:eastAsia="zh-CN"/>
        </w:rPr>
        <w:t>收入</w:t>
      </w:r>
      <w:r>
        <w:rPr>
          <w:rFonts w:hint="eastAsia" w:ascii="仿宋" w:hAnsi="仿宋" w:eastAsia="仿宋" w:cs="宋体"/>
          <w:b/>
          <w:bCs/>
          <w:color w:val="000000"/>
          <w:kern w:val="0"/>
          <w:sz w:val="28"/>
          <w:szCs w:val="28"/>
        </w:rPr>
        <w:t>明细表</w:t>
      </w:r>
    </w:p>
    <w:tbl>
      <w:tblPr>
        <w:tblStyle w:val="11"/>
        <w:tblW w:w="4998" w:type="pct"/>
        <w:tblInd w:w="0" w:type="dxa"/>
        <w:tblLayout w:type="autofit"/>
        <w:tblCellMar>
          <w:top w:w="0" w:type="dxa"/>
          <w:left w:w="108" w:type="dxa"/>
          <w:bottom w:w="0" w:type="dxa"/>
          <w:right w:w="108" w:type="dxa"/>
        </w:tblCellMar>
      </w:tblPr>
      <w:tblGrid>
        <w:gridCol w:w="4052"/>
        <w:gridCol w:w="1609"/>
        <w:gridCol w:w="1609"/>
        <w:gridCol w:w="1249"/>
      </w:tblGrid>
      <w:tr>
        <w:tblPrEx>
          <w:tblCellMar>
            <w:top w:w="0" w:type="dxa"/>
            <w:left w:w="108" w:type="dxa"/>
            <w:bottom w:w="0" w:type="dxa"/>
            <w:right w:w="108" w:type="dxa"/>
          </w:tblCellMar>
        </w:tblPrEx>
        <w:trPr>
          <w:trHeight w:val="448" w:hRule="atLeast"/>
        </w:trPr>
        <w:tc>
          <w:tcPr>
            <w:tcW w:w="2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年初预算数</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调整预算数</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448" w:hRule="atLeast"/>
        </w:trPr>
        <w:tc>
          <w:tcPr>
            <w:tcW w:w="2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一、一般公共预算财政拨款收入</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仿宋" w:hAnsi="仿宋" w:eastAsia="仿宋" w:cs="仿宋"/>
                <w:color w:val="000000"/>
                <w:sz w:val="24"/>
                <w:szCs w:val="24"/>
              </w:rPr>
            </w:pPr>
            <w:r>
              <w:rPr>
                <w:rFonts w:hint="eastAsia" w:ascii="宋体" w:hAnsi="宋体" w:eastAsia="宋体" w:cs="宋体"/>
                <w:i w:val="0"/>
                <w:iCs w:val="0"/>
                <w:color w:val="000000"/>
                <w:kern w:val="0"/>
                <w:sz w:val="22"/>
                <w:szCs w:val="22"/>
                <w:u w:val="none"/>
                <w:lang w:val="en-US" w:eastAsia="zh-CN" w:bidi="ar"/>
              </w:rPr>
              <w:t xml:space="preserve">1,568.90 </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仿宋" w:hAnsi="仿宋" w:eastAsia="仿宋" w:cs="仿宋"/>
                <w:color w:val="000000"/>
                <w:sz w:val="24"/>
                <w:szCs w:val="24"/>
              </w:rPr>
            </w:pPr>
            <w:r>
              <w:rPr>
                <w:rFonts w:hint="eastAsia" w:ascii="宋体" w:hAnsi="宋体" w:eastAsia="宋体" w:cs="宋体"/>
                <w:i w:val="0"/>
                <w:iCs w:val="0"/>
                <w:color w:val="000000"/>
                <w:kern w:val="0"/>
                <w:sz w:val="22"/>
                <w:szCs w:val="22"/>
                <w:u w:val="none"/>
                <w:lang w:val="en-US" w:eastAsia="zh-CN" w:bidi="ar"/>
              </w:rPr>
              <w:t xml:space="preserve">2,141.50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color w:val="000000"/>
                <w:kern w:val="0"/>
                <w:sz w:val="24"/>
                <w:szCs w:val="24"/>
                <w:lang w:bidi="ar"/>
              </w:rPr>
            </w:pPr>
            <w:r>
              <w:rPr>
                <w:rFonts w:hint="eastAsia" w:ascii="宋体" w:hAnsi="宋体" w:eastAsia="宋体" w:cs="宋体"/>
                <w:i w:val="0"/>
                <w:iCs w:val="0"/>
                <w:color w:val="000000"/>
                <w:kern w:val="0"/>
                <w:sz w:val="22"/>
                <w:szCs w:val="22"/>
                <w:u w:val="none"/>
                <w:lang w:val="en-US" w:eastAsia="zh-CN" w:bidi="ar"/>
              </w:rPr>
              <w:t xml:space="preserve">2,141.50 </w:t>
            </w:r>
          </w:p>
        </w:tc>
      </w:tr>
      <w:tr>
        <w:tblPrEx>
          <w:tblCellMar>
            <w:top w:w="0" w:type="dxa"/>
            <w:left w:w="108" w:type="dxa"/>
            <w:bottom w:w="0" w:type="dxa"/>
            <w:right w:w="108" w:type="dxa"/>
          </w:tblCellMar>
        </w:tblPrEx>
        <w:trPr>
          <w:trHeight w:val="450" w:hRule="atLeast"/>
        </w:trPr>
        <w:tc>
          <w:tcPr>
            <w:tcW w:w="2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二、其他收入</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仿宋" w:hAnsi="仿宋" w:eastAsia="仿宋" w:cs="仿宋"/>
                <w:color w:val="00000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仿宋" w:hAnsi="仿宋" w:eastAsia="仿宋" w:cs="仿宋"/>
                <w:color w:val="000000"/>
                <w:sz w:val="24"/>
                <w:szCs w:val="24"/>
              </w:rPr>
            </w:pPr>
            <w:r>
              <w:rPr>
                <w:rFonts w:hint="eastAsia" w:ascii="宋体" w:hAnsi="宋体" w:eastAsia="宋体" w:cs="宋体"/>
                <w:i w:val="0"/>
                <w:iCs w:val="0"/>
                <w:color w:val="000000"/>
                <w:kern w:val="0"/>
                <w:sz w:val="22"/>
                <w:szCs w:val="22"/>
                <w:u w:val="none"/>
                <w:lang w:val="en-US" w:eastAsia="zh-CN" w:bidi="ar"/>
              </w:rPr>
              <w:t xml:space="preserve">10.60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color w:val="000000"/>
                <w:kern w:val="0"/>
                <w:sz w:val="24"/>
                <w:szCs w:val="24"/>
                <w:lang w:bidi="ar"/>
              </w:rPr>
            </w:pPr>
            <w:r>
              <w:rPr>
                <w:rFonts w:hint="eastAsia" w:ascii="宋体" w:hAnsi="宋体" w:eastAsia="宋体" w:cs="宋体"/>
                <w:i w:val="0"/>
                <w:iCs w:val="0"/>
                <w:color w:val="000000"/>
                <w:kern w:val="0"/>
                <w:sz w:val="22"/>
                <w:szCs w:val="22"/>
                <w:u w:val="none"/>
                <w:lang w:val="en-US" w:eastAsia="zh-CN" w:bidi="ar"/>
              </w:rPr>
              <w:t xml:space="preserve">10.60 </w:t>
            </w:r>
          </w:p>
        </w:tc>
      </w:tr>
      <w:tr>
        <w:tblPrEx>
          <w:tblCellMar>
            <w:top w:w="0" w:type="dxa"/>
            <w:left w:w="108" w:type="dxa"/>
            <w:bottom w:w="0" w:type="dxa"/>
            <w:right w:w="108" w:type="dxa"/>
          </w:tblCellMar>
        </w:tblPrEx>
        <w:trPr>
          <w:trHeight w:val="448" w:hRule="atLeast"/>
        </w:trPr>
        <w:tc>
          <w:tcPr>
            <w:tcW w:w="2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仿宋" w:hAnsi="仿宋" w:eastAsia="仿宋" w:cs="仿宋"/>
                <w:b/>
                <w:bCs/>
                <w:color w:val="000000"/>
                <w:kern w:val="0"/>
                <w:sz w:val="24"/>
                <w:szCs w:val="24"/>
                <w:lang w:val="en-US" w:eastAsia="zh-CN" w:bidi="ar"/>
              </w:rPr>
              <w:t>本年收入合计</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仿宋" w:hAnsi="仿宋" w:eastAsia="仿宋" w:cs="仿宋"/>
                <w:color w:val="000000"/>
                <w:sz w:val="24"/>
                <w:szCs w:val="24"/>
              </w:rPr>
            </w:pPr>
            <w:r>
              <w:rPr>
                <w:rFonts w:hint="eastAsia" w:ascii="宋体" w:hAnsi="宋体" w:eastAsia="宋体" w:cs="宋体"/>
                <w:i w:val="0"/>
                <w:iCs w:val="0"/>
                <w:color w:val="000000"/>
                <w:kern w:val="0"/>
                <w:sz w:val="22"/>
                <w:szCs w:val="22"/>
                <w:u w:val="none"/>
                <w:lang w:val="en-US" w:eastAsia="zh-CN" w:bidi="ar"/>
              </w:rPr>
              <w:t xml:space="preserve">1,568.90 </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仿宋" w:hAnsi="仿宋" w:eastAsia="仿宋" w:cs="仿宋"/>
                <w:color w:val="000000"/>
                <w:sz w:val="24"/>
                <w:szCs w:val="24"/>
              </w:rPr>
            </w:pPr>
            <w:r>
              <w:rPr>
                <w:rFonts w:hint="eastAsia" w:ascii="宋体" w:hAnsi="宋体" w:eastAsia="宋体" w:cs="宋体"/>
                <w:i w:val="0"/>
                <w:iCs w:val="0"/>
                <w:color w:val="000000"/>
                <w:kern w:val="0"/>
                <w:sz w:val="22"/>
                <w:szCs w:val="22"/>
                <w:u w:val="none"/>
                <w:lang w:val="en-US" w:eastAsia="zh-CN" w:bidi="ar"/>
              </w:rPr>
              <w:t xml:space="preserve">2,152.10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color w:val="000000"/>
                <w:kern w:val="0"/>
                <w:sz w:val="24"/>
                <w:szCs w:val="24"/>
                <w:lang w:bidi="ar"/>
              </w:rPr>
            </w:pPr>
            <w:r>
              <w:rPr>
                <w:rFonts w:hint="eastAsia" w:ascii="宋体" w:hAnsi="宋体" w:eastAsia="宋体" w:cs="宋体"/>
                <w:i w:val="0"/>
                <w:iCs w:val="0"/>
                <w:color w:val="000000"/>
                <w:kern w:val="0"/>
                <w:sz w:val="22"/>
                <w:szCs w:val="22"/>
                <w:u w:val="none"/>
                <w:lang w:val="en-US" w:eastAsia="zh-CN" w:bidi="ar"/>
              </w:rPr>
              <w:t xml:space="preserve">2,152.10 </w:t>
            </w:r>
          </w:p>
        </w:tc>
      </w:tr>
      <w:tr>
        <w:tblPrEx>
          <w:tblCellMar>
            <w:top w:w="0" w:type="dxa"/>
            <w:left w:w="108" w:type="dxa"/>
            <w:bottom w:w="0" w:type="dxa"/>
            <w:right w:w="108" w:type="dxa"/>
          </w:tblCellMar>
        </w:tblPrEx>
        <w:trPr>
          <w:trHeight w:val="448" w:hRule="atLeast"/>
        </w:trPr>
        <w:tc>
          <w:tcPr>
            <w:tcW w:w="2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三、年初结转和结余</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仿宋" w:hAnsi="仿宋" w:eastAsia="仿宋" w:cs="仿宋"/>
                <w:color w:val="00000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仿宋" w:hAnsi="仿宋" w:eastAsia="仿宋" w:cs="仿宋"/>
                <w:color w:val="000000"/>
                <w:sz w:val="24"/>
                <w:szCs w:val="24"/>
              </w:rPr>
            </w:pPr>
            <w:r>
              <w:rPr>
                <w:rFonts w:hint="eastAsia" w:ascii="宋体" w:hAnsi="宋体" w:eastAsia="宋体" w:cs="宋体"/>
                <w:i w:val="0"/>
                <w:iCs w:val="0"/>
                <w:color w:val="000000"/>
                <w:kern w:val="0"/>
                <w:sz w:val="22"/>
                <w:szCs w:val="22"/>
                <w:u w:val="none"/>
                <w:lang w:val="en-US" w:eastAsia="zh-CN" w:bidi="ar"/>
              </w:rPr>
              <w:t xml:space="preserve">220.86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color w:val="000000"/>
                <w:kern w:val="0"/>
                <w:sz w:val="24"/>
                <w:szCs w:val="24"/>
                <w:lang w:bidi="ar"/>
              </w:rPr>
            </w:pPr>
            <w:r>
              <w:rPr>
                <w:rFonts w:hint="eastAsia" w:ascii="宋体" w:hAnsi="宋体" w:eastAsia="宋体" w:cs="宋体"/>
                <w:i w:val="0"/>
                <w:iCs w:val="0"/>
                <w:color w:val="000000"/>
                <w:kern w:val="0"/>
                <w:sz w:val="22"/>
                <w:szCs w:val="22"/>
                <w:u w:val="none"/>
                <w:lang w:val="en-US" w:eastAsia="zh-CN" w:bidi="ar"/>
              </w:rPr>
              <w:t xml:space="preserve">220.86 </w:t>
            </w:r>
          </w:p>
        </w:tc>
      </w:tr>
      <w:tr>
        <w:tblPrEx>
          <w:tblCellMar>
            <w:top w:w="0" w:type="dxa"/>
            <w:left w:w="108" w:type="dxa"/>
            <w:bottom w:w="0" w:type="dxa"/>
            <w:right w:w="108" w:type="dxa"/>
          </w:tblCellMar>
        </w:tblPrEx>
        <w:trPr>
          <w:trHeight w:val="448" w:hRule="atLeast"/>
        </w:trPr>
        <w:tc>
          <w:tcPr>
            <w:tcW w:w="2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4"/>
                <w:szCs w:val="24"/>
              </w:rPr>
            </w:pPr>
            <w:r>
              <w:rPr>
                <w:rFonts w:hint="eastAsia" w:ascii="仿宋" w:hAnsi="仿宋" w:eastAsia="仿宋" w:cs="宋体"/>
                <w:b/>
                <w:bCs/>
                <w:color w:val="000000"/>
                <w:kern w:val="0"/>
                <w:sz w:val="24"/>
                <w:szCs w:val="24"/>
              </w:rPr>
              <w:t>合计</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仿宋" w:hAnsi="仿宋" w:eastAsia="仿宋" w:cs="仿宋"/>
                <w:b/>
                <w:bCs/>
                <w:color w:val="000000"/>
                <w:sz w:val="24"/>
                <w:szCs w:val="24"/>
              </w:rPr>
            </w:pPr>
            <w:r>
              <w:rPr>
                <w:rFonts w:hint="eastAsia" w:ascii="宋体" w:hAnsi="宋体" w:eastAsia="宋体" w:cs="宋体"/>
                <w:b/>
                <w:bCs/>
                <w:i w:val="0"/>
                <w:iCs w:val="0"/>
                <w:color w:val="000000"/>
                <w:kern w:val="0"/>
                <w:sz w:val="22"/>
                <w:szCs w:val="22"/>
                <w:u w:val="none"/>
                <w:lang w:val="en-US" w:eastAsia="zh-CN" w:bidi="ar"/>
              </w:rPr>
              <w:t xml:space="preserve">1,568.90 </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仿宋" w:hAnsi="仿宋" w:eastAsia="仿宋" w:cs="仿宋"/>
                <w:b/>
                <w:bCs/>
                <w:color w:val="000000"/>
                <w:sz w:val="24"/>
                <w:szCs w:val="24"/>
              </w:rPr>
            </w:pPr>
            <w:r>
              <w:rPr>
                <w:rFonts w:hint="eastAsia" w:ascii="宋体" w:hAnsi="宋体" w:eastAsia="宋体" w:cs="宋体"/>
                <w:b/>
                <w:bCs/>
                <w:i w:val="0"/>
                <w:iCs w:val="0"/>
                <w:color w:val="000000"/>
                <w:kern w:val="0"/>
                <w:sz w:val="22"/>
                <w:szCs w:val="22"/>
                <w:u w:val="none"/>
                <w:lang w:val="en-US" w:eastAsia="zh-CN" w:bidi="ar"/>
              </w:rPr>
              <w:t xml:space="preserve">2,372.96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color w:val="000000"/>
                <w:kern w:val="0"/>
                <w:sz w:val="24"/>
                <w:szCs w:val="24"/>
                <w:lang w:bidi="ar"/>
              </w:rPr>
            </w:pPr>
            <w:r>
              <w:rPr>
                <w:rFonts w:hint="eastAsia" w:ascii="宋体" w:hAnsi="宋体" w:eastAsia="宋体" w:cs="宋体"/>
                <w:b/>
                <w:bCs/>
                <w:i w:val="0"/>
                <w:iCs w:val="0"/>
                <w:color w:val="000000"/>
                <w:kern w:val="0"/>
                <w:sz w:val="22"/>
                <w:szCs w:val="22"/>
                <w:u w:val="none"/>
                <w:lang w:val="en-US" w:eastAsia="zh-CN" w:bidi="ar"/>
              </w:rPr>
              <w:t xml:space="preserve">2,372.96 </w:t>
            </w:r>
          </w:p>
        </w:tc>
      </w:tr>
    </w:tbl>
    <w:p>
      <w:pPr>
        <w:pStyle w:val="2"/>
      </w:pPr>
    </w:p>
    <w:tbl>
      <w:tblPr>
        <w:tblStyle w:val="11"/>
        <w:tblW w:w="8744" w:type="dxa"/>
        <w:jc w:val="center"/>
        <w:tblLayout w:type="autofit"/>
        <w:tblCellMar>
          <w:top w:w="0" w:type="dxa"/>
          <w:left w:w="108" w:type="dxa"/>
          <w:bottom w:w="0" w:type="dxa"/>
          <w:right w:w="108" w:type="dxa"/>
        </w:tblCellMar>
      </w:tblPr>
      <w:tblGrid>
        <w:gridCol w:w="2385"/>
        <w:gridCol w:w="2144"/>
        <w:gridCol w:w="2144"/>
        <w:gridCol w:w="338"/>
        <w:gridCol w:w="1733"/>
      </w:tblGrid>
      <w:tr>
        <w:tblPrEx>
          <w:tblCellMar>
            <w:top w:w="0" w:type="dxa"/>
            <w:left w:w="108" w:type="dxa"/>
            <w:bottom w:w="0" w:type="dxa"/>
            <w:right w:w="108" w:type="dxa"/>
          </w:tblCellMar>
        </w:tblPrEx>
        <w:trPr>
          <w:trHeight w:val="825" w:hRule="atLeast"/>
          <w:tblHeader/>
          <w:jc w:val="center"/>
        </w:trPr>
        <w:tc>
          <w:tcPr>
            <w:tcW w:w="0" w:type="auto"/>
            <w:gridSpan w:val="3"/>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b/>
                <w:bCs/>
                <w:color w:val="000000"/>
                <w:kern w:val="0"/>
                <w:sz w:val="28"/>
                <w:szCs w:val="28"/>
                <w:highlight w:val="yellow"/>
              </w:rPr>
            </w:pPr>
            <w:r>
              <w:rPr>
                <w:rFonts w:hint="eastAsia" w:ascii="仿宋" w:hAnsi="仿宋" w:eastAsia="仿宋" w:cs="宋体"/>
                <w:b/>
                <w:bCs/>
                <w:color w:val="000000"/>
                <w:kern w:val="0"/>
                <w:sz w:val="28"/>
                <w:szCs w:val="28"/>
                <w:highlight w:val="none"/>
                <w:lang w:val="en-US" w:eastAsia="zh-CN"/>
              </w:rPr>
              <w:t xml:space="preserve">                 </w:t>
            </w:r>
            <w:r>
              <w:rPr>
                <w:rFonts w:hint="eastAsia" w:ascii="仿宋" w:hAnsi="仿宋" w:eastAsia="仿宋" w:cs="宋体"/>
                <w:b/>
                <w:bCs/>
                <w:color w:val="000000"/>
                <w:kern w:val="0"/>
                <w:sz w:val="28"/>
                <w:szCs w:val="28"/>
                <w:highlight w:val="none"/>
              </w:rPr>
              <w:t>部门整体</w:t>
            </w:r>
            <w:r>
              <w:rPr>
                <w:rFonts w:hint="eastAsia" w:ascii="仿宋" w:hAnsi="仿宋" w:eastAsia="仿宋" w:cs="宋体"/>
                <w:b/>
                <w:bCs/>
                <w:color w:val="000000"/>
                <w:kern w:val="0"/>
                <w:sz w:val="28"/>
                <w:szCs w:val="28"/>
                <w:highlight w:val="none"/>
                <w:lang w:eastAsia="zh-CN"/>
              </w:rPr>
              <w:t>决算</w:t>
            </w:r>
            <w:r>
              <w:rPr>
                <w:rFonts w:hint="eastAsia" w:ascii="仿宋" w:hAnsi="仿宋" w:eastAsia="仿宋" w:cs="宋体"/>
                <w:b/>
                <w:bCs/>
                <w:color w:val="000000"/>
                <w:kern w:val="0"/>
                <w:sz w:val="28"/>
                <w:szCs w:val="28"/>
                <w:highlight w:val="none"/>
              </w:rPr>
              <w:t>支出明细表</w:t>
            </w:r>
          </w:p>
        </w:tc>
        <w:tc>
          <w:tcPr>
            <w:tcW w:w="0" w:type="auto"/>
            <w:tcBorders>
              <w:top w:val="nil"/>
              <w:left w:val="nil"/>
              <w:bottom w:val="single" w:color="auto" w:sz="4" w:space="0"/>
              <w:right w:val="nil"/>
            </w:tcBorders>
          </w:tcPr>
          <w:p>
            <w:pPr>
              <w:widowControl/>
              <w:jc w:val="center"/>
              <w:rPr>
                <w:rFonts w:ascii="仿宋" w:hAnsi="仿宋" w:eastAsia="仿宋" w:cs="宋体"/>
                <w:b/>
                <w:bCs/>
                <w:color w:val="000000"/>
                <w:kern w:val="0"/>
                <w:sz w:val="28"/>
                <w:szCs w:val="28"/>
                <w:highlight w:val="yellow"/>
              </w:rPr>
            </w:pPr>
          </w:p>
        </w:tc>
        <w:tc>
          <w:tcPr>
            <w:tcW w:w="1140" w:type="dxa"/>
            <w:tcBorders>
              <w:top w:val="nil"/>
              <w:left w:val="nil"/>
              <w:bottom w:val="single" w:color="auto" w:sz="4" w:space="0"/>
              <w:right w:val="nil"/>
            </w:tcBorders>
          </w:tcPr>
          <w:p>
            <w:pPr>
              <w:widowControl/>
              <w:jc w:val="center"/>
              <w:rPr>
                <w:rFonts w:ascii="仿宋" w:hAnsi="仿宋" w:eastAsia="仿宋" w:cs="宋体"/>
                <w:b/>
                <w:bCs/>
                <w:color w:val="000000"/>
                <w:kern w:val="0"/>
                <w:sz w:val="28"/>
                <w:szCs w:val="28"/>
                <w:highlight w:val="yellow"/>
              </w:rPr>
            </w:pPr>
          </w:p>
        </w:tc>
      </w:tr>
      <w:tr>
        <w:tblPrEx>
          <w:tblCellMar>
            <w:top w:w="0" w:type="dxa"/>
            <w:left w:w="108" w:type="dxa"/>
            <w:bottom w:w="0" w:type="dxa"/>
            <w:right w:w="108" w:type="dxa"/>
          </w:tblCellMar>
        </w:tblPrEx>
        <w:trPr>
          <w:trHeight w:val="45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项目类别</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年初预算数（元）</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调整预算数（元）</w:t>
            </w:r>
          </w:p>
        </w:tc>
        <w:tc>
          <w:tcPr>
            <w:tcW w:w="2071"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预算执行数（元）</w:t>
            </w:r>
          </w:p>
        </w:tc>
      </w:tr>
      <w:tr>
        <w:tblPrEx>
          <w:tblCellMar>
            <w:top w:w="0" w:type="dxa"/>
            <w:left w:w="108" w:type="dxa"/>
            <w:bottom w:w="0" w:type="dxa"/>
            <w:right w:w="108" w:type="dxa"/>
          </w:tblCellMar>
        </w:tblPrEx>
        <w:trPr>
          <w:trHeight w:val="45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rPr>
              <w:t>一、基本支出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cs="宋体"/>
                <w:b w:val="0"/>
                <w:bCs w:val="0"/>
                <w:color w:val="000000"/>
                <w:kern w:val="0"/>
                <w:sz w:val="22"/>
                <w:lang w:bidi="ar"/>
              </w:rPr>
            </w:pPr>
            <w:r>
              <w:rPr>
                <w:rFonts w:hint="eastAsia" w:ascii="宋体" w:hAnsi="宋体" w:cs="宋体"/>
                <w:b w:val="0"/>
                <w:bCs w:val="0"/>
                <w:color w:val="000000"/>
                <w:kern w:val="0"/>
                <w:sz w:val="22"/>
                <w:lang w:val="en-US" w:eastAsia="zh-CN" w:bidi="ar"/>
              </w:rPr>
              <w:t xml:space="preserve">1,061.90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cs="宋体"/>
                <w:b w:val="0"/>
                <w:bCs w:val="0"/>
                <w:color w:val="000000"/>
                <w:kern w:val="0"/>
                <w:sz w:val="22"/>
                <w:lang w:bidi="ar"/>
              </w:rPr>
            </w:pPr>
            <w:r>
              <w:rPr>
                <w:rFonts w:hint="eastAsia" w:ascii="宋体" w:hAnsi="宋体" w:cs="宋体"/>
                <w:b w:val="0"/>
                <w:bCs w:val="0"/>
                <w:color w:val="000000"/>
                <w:kern w:val="0"/>
                <w:sz w:val="22"/>
                <w:lang w:val="en-US" w:eastAsia="zh-CN" w:bidi="ar"/>
              </w:rPr>
              <w:t xml:space="preserve">1,144.19 </w:t>
            </w:r>
          </w:p>
        </w:tc>
        <w:tc>
          <w:tcPr>
            <w:tcW w:w="2071" w:type="dxa"/>
            <w:gridSpan w:val="2"/>
            <w:tcBorders>
              <w:top w:val="nil"/>
              <w:left w:val="nil"/>
              <w:bottom w:val="single" w:color="auto" w:sz="4" w:space="0"/>
              <w:right w:val="single" w:color="auto" w:sz="4" w:space="0"/>
            </w:tcBorders>
            <w:vAlign w:val="center"/>
          </w:tcPr>
          <w:p>
            <w:pPr>
              <w:widowControl/>
              <w:jc w:val="right"/>
              <w:textAlignment w:val="center"/>
              <w:rPr>
                <w:rFonts w:hint="eastAsia" w:ascii="宋体" w:hAnsi="宋体" w:cs="宋体"/>
                <w:b w:val="0"/>
                <w:bCs w:val="0"/>
                <w:color w:val="000000"/>
                <w:kern w:val="0"/>
                <w:sz w:val="22"/>
                <w:lang w:bidi="ar"/>
              </w:rPr>
            </w:pPr>
            <w:r>
              <w:rPr>
                <w:rFonts w:hint="eastAsia" w:ascii="宋体" w:hAnsi="宋体" w:cs="宋体"/>
                <w:b w:val="0"/>
                <w:bCs w:val="0"/>
                <w:color w:val="000000"/>
                <w:kern w:val="0"/>
                <w:sz w:val="22"/>
                <w:lang w:val="en-US" w:eastAsia="zh-CN" w:bidi="ar"/>
              </w:rPr>
              <w:t xml:space="preserve">1,144.19 </w:t>
            </w:r>
          </w:p>
        </w:tc>
      </w:tr>
      <w:tr>
        <w:tblPrEx>
          <w:tblCellMar>
            <w:top w:w="0" w:type="dxa"/>
            <w:left w:w="108" w:type="dxa"/>
            <w:bottom w:w="0" w:type="dxa"/>
            <w:right w:w="108" w:type="dxa"/>
          </w:tblCellMar>
        </w:tblPrEx>
        <w:trPr>
          <w:trHeight w:val="39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rPr>
              <w:t>人员经费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cs="宋体"/>
                <w:b w:val="0"/>
                <w:bCs w:val="0"/>
                <w:color w:val="000000"/>
                <w:kern w:val="0"/>
                <w:sz w:val="22"/>
                <w:lang w:bidi="ar"/>
              </w:rPr>
            </w:pPr>
            <w:r>
              <w:rPr>
                <w:rFonts w:hint="eastAsia" w:ascii="宋体" w:hAnsi="宋体" w:cs="宋体"/>
                <w:b w:val="0"/>
                <w:bCs w:val="0"/>
                <w:color w:val="000000"/>
                <w:kern w:val="0"/>
                <w:sz w:val="22"/>
                <w:lang w:val="en-US" w:eastAsia="zh-CN" w:bidi="ar"/>
              </w:rPr>
              <w:t xml:space="preserve">946.54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cs="宋体"/>
                <w:b w:val="0"/>
                <w:bCs w:val="0"/>
                <w:color w:val="000000"/>
                <w:kern w:val="0"/>
                <w:sz w:val="22"/>
                <w:lang w:bidi="ar"/>
              </w:rPr>
            </w:pPr>
            <w:r>
              <w:rPr>
                <w:rFonts w:hint="eastAsia" w:ascii="宋体" w:hAnsi="宋体" w:cs="宋体"/>
                <w:b w:val="0"/>
                <w:bCs w:val="0"/>
                <w:color w:val="000000"/>
                <w:kern w:val="0"/>
                <w:sz w:val="22"/>
                <w:lang w:val="en-US" w:eastAsia="zh-CN" w:bidi="ar"/>
              </w:rPr>
              <w:t xml:space="preserve">1,068.36 </w:t>
            </w:r>
          </w:p>
        </w:tc>
        <w:tc>
          <w:tcPr>
            <w:tcW w:w="2071" w:type="dxa"/>
            <w:gridSpan w:val="2"/>
            <w:tcBorders>
              <w:top w:val="nil"/>
              <w:left w:val="nil"/>
              <w:bottom w:val="single" w:color="auto" w:sz="4" w:space="0"/>
              <w:right w:val="single" w:color="auto" w:sz="4" w:space="0"/>
            </w:tcBorders>
            <w:vAlign w:val="center"/>
          </w:tcPr>
          <w:p>
            <w:pPr>
              <w:widowControl/>
              <w:jc w:val="right"/>
              <w:textAlignment w:val="center"/>
              <w:rPr>
                <w:rFonts w:hint="eastAsia" w:ascii="宋体" w:hAnsi="宋体" w:cs="宋体"/>
                <w:b w:val="0"/>
                <w:bCs w:val="0"/>
                <w:color w:val="000000"/>
                <w:kern w:val="0"/>
                <w:sz w:val="22"/>
                <w:lang w:bidi="ar"/>
              </w:rPr>
            </w:pPr>
            <w:r>
              <w:rPr>
                <w:rFonts w:hint="eastAsia" w:ascii="宋体" w:hAnsi="宋体" w:cs="宋体"/>
                <w:b w:val="0"/>
                <w:bCs w:val="0"/>
                <w:color w:val="000000"/>
                <w:kern w:val="0"/>
                <w:sz w:val="22"/>
                <w:lang w:val="en-US" w:eastAsia="zh-CN" w:bidi="ar"/>
              </w:rPr>
              <w:t xml:space="preserve">1,068.36 </w:t>
            </w:r>
          </w:p>
        </w:tc>
      </w:tr>
      <w:tr>
        <w:tblPrEx>
          <w:tblCellMar>
            <w:top w:w="0" w:type="dxa"/>
            <w:left w:w="108" w:type="dxa"/>
            <w:bottom w:w="0" w:type="dxa"/>
            <w:right w:w="108" w:type="dxa"/>
          </w:tblCellMar>
        </w:tblPrEx>
        <w:trPr>
          <w:trHeight w:val="39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rPr>
              <w:t>公用经费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cs="宋体"/>
                <w:b w:val="0"/>
                <w:bCs w:val="0"/>
                <w:color w:val="000000"/>
                <w:kern w:val="0"/>
                <w:sz w:val="22"/>
                <w:lang w:bidi="ar"/>
              </w:rPr>
            </w:pPr>
            <w:r>
              <w:rPr>
                <w:rFonts w:hint="eastAsia" w:ascii="宋体" w:hAnsi="宋体" w:cs="宋体"/>
                <w:b w:val="0"/>
                <w:bCs w:val="0"/>
                <w:color w:val="000000"/>
                <w:kern w:val="0"/>
                <w:sz w:val="22"/>
                <w:lang w:val="en-US" w:eastAsia="zh-CN" w:bidi="ar"/>
              </w:rPr>
              <w:t xml:space="preserve">115.36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cs="宋体"/>
                <w:b w:val="0"/>
                <w:bCs w:val="0"/>
                <w:color w:val="000000"/>
                <w:kern w:val="0"/>
                <w:sz w:val="22"/>
                <w:lang w:bidi="ar"/>
              </w:rPr>
            </w:pPr>
            <w:r>
              <w:rPr>
                <w:rFonts w:hint="eastAsia" w:ascii="宋体" w:hAnsi="宋体" w:cs="宋体"/>
                <w:b w:val="0"/>
                <w:bCs w:val="0"/>
                <w:color w:val="000000"/>
                <w:kern w:val="0"/>
                <w:sz w:val="22"/>
                <w:lang w:val="en-US" w:eastAsia="zh-CN" w:bidi="ar"/>
              </w:rPr>
              <w:t xml:space="preserve">75.83 </w:t>
            </w:r>
          </w:p>
        </w:tc>
        <w:tc>
          <w:tcPr>
            <w:tcW w:w="2071" w:type="dxa"/>
            <w:gridSpan w:val="2"/>
            <w:tcBorders>
              <w:top w:val="nil"/>
              <w:left w:val="nil"/>
              <w:bottom w:val="single" w:color="auto" w:sz="4" w:space="0"/>
              <w:right w:val="single" w:color="auto" w:sz="4" w:space="0"/>
            </w:tcBorders>
            <w:vAlign w:val="center"/>
          </w:tcPr>
          <w:p>
            <w:pPr>
              <w:widowControl/>
              <w:jc w:val="right"/>
              <w:textAlignment w:val="center"/>
              <w:rPr>
                <w:rFonts w:hint="eastAsia" w:ascii="宋体" w:hAnsi="宋体" w:cs="宋体"/>
                <w:b w:val="0"/>
                <w:bCs w:val="0"/>
                <w:color w:val="000000"/>
                <w:kern w:val="0"/>
                <w:sz w:val="22"/>
                <w:lang w:bidi="ar"/>
              </w:rPr>
            </w:pPr>
            <w:r>
              <w:rPr>
                <w:rFonts w:hint="eastAsia" w:ascii="宋体" w:hAnsi="宋体" w:cs="宋体"/>
                <w:b w:val="0"/>
                <w:bCs w:val="0"/>
                <w:color w:val="000000"/>
                <w:kern w:val="0"/>
                <w:sz w:val="22"/>
                <w:lang w:val="en-US" w:eastAsia="zh-CN" w:bidi="ar"/>
              </w:rPr>
              <w:t xml:space="preserve">75.83 </w:t>
            </w:r>
          </w:p>
        </w:tc>
      </w:tr>
      <w:tr>
        <w:tblPrEx>
          <w:tblCellMar>
            <w:top w:w="0" w:type="dxa"/>
            <w:left w:w="108" w:type="dxa"/>
            <w:bottom w:w="0" w:type="dxa"/>
            <w:right w:w="108" w:type="dxa"/>
          </w:tblCellMar>
        </w:tblPrEx>
        <w:trPr>
          <w:trHeight w:val="39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rPr>
              <w:t>二、项目支出</w:t>
            </w:r>
            <w:r>
              <w:rPr>
                <w:rFonts w:hint="eastAsia" w:ascii="仿宋" w:hAnsi="仿宋" w:eastAsia="仿宋" w:cs="宋体"/>
                <w:b w:val="0"/>
                <w:bCs w:val="0"/>
                <w:color w:val="000000"/>
                <w:kern w:val="0"/>
                <w:sz w:val="24"/>
                <w:szCs w:val="24"/>
              </w:rPr>
              <w:tab/>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cs="宋体"/>
                <w:b w:val="0"/>
                <w:bCs w:val="0"/>
                <w:color w:val="000000"/>
                <w:kern w:val="0"/>
                <w:sz w:val="22"/>
                <w:lang w:bidi="ar"/>
              </w:rPr>
            </w:pPr>
            <w:r>
              <w:rPr>
                <w:rFonts w:hint="eastAsia" w:ascii="宋体" w:hAnsi="宋体" w:cs="宋体"/>
                <w:b w:val="0"/>
                <w:bCs w:val="0"/>
                <w:color w:val="000000"/>
                <w:kern w:val="0"/>
                <w:sz w:val="22"/>
                <w:lang w:val="en-US" w:eastAsia="zh-CN" w:bidi="ar"/>
              </w:rPr>
              <w:t xml:space="preserve">507.00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cs="宋体"/>
                <w:b w:val="0"/>
                <w:bCs w:val="0"/>
                <w:color w:val="000000"/>
                <w:kern w:val="0"/>
                <w:sz w:val="22"/>
                <w:lang w:bidi="ar"/>
              </w:rPr>
            </w:pPr>
            <w:r>
              <w:rPr>
                <w:rFonts w:hint="eastAsia" w:ascii="宋体" w:hAnsi="宋体" w:cs="宋体"/>
                <w:b w:val="0"/>
                <w:bCs w:val="0"/>
                <w:color w:val="000000"/>
                <w:kern w:val="0"/>
                <w:sz w:val="22"/>
                <w:lang w:val="en-US" w:eastAsia="zh-CN" w:bidi="ar"/>
              </w:rPr>
              <w:t xml:space="preserve">1,007.91 </w:t>
            </w:r>
          </w:p>
        </w:tc>
        <w:tc>
          <w:tcPr>
            <w:tcW w:w="2071" w:type="dxa"/>
            <w:gridSpan w:val="2"/>
            <w:tcBorders>
              <w:top w:val="nil"/>
              <w:left w:val="nil"/>
              <w:bottom w:val="single" w:color="auto" w:sz="4" w:space="0"/>
              <w:right w:val="single" w:color="auto" w:sz="4" w:space="0"/>
            </w:tcBorders>
            <w:vAlign w:val="center"/>
          </w:tcPr>
          <w:p>
            <w:pPr>
              <w:widowControl/>
              <w:jc w:val="right"/>
              <w:textAlignment w:val="center"/>
              <w:rPr>
                <w:rFonts w:hint="eastAsia" w:ascii="宋体" w:hAnsi="宋体" w:cs="宋体"/>
                <w:b w:val="0"/>
                <w:bCs w:val="0"/>
                <w:color w:val="000000"/>
                <w:kern w:val="0"/>
                <w:sz w:val="22"/>
                <w:lang w:bidi="ar"/>
              </w:rPr>
            </w:pPr>
            <w:r>
              <w:rPr>
                <w:rFonts w:hint="eastAsia" w:ascii="宋体" w:hAnsi="宋体" w:cs="宋体"/>
                <w:b w:val="0"/>
                <w:bCs w:val="0"/>
                <w:color w:val="000000"/>
                <w:kern w:val="0"/>
                <w:sz w:val="22"/>
                <w:lang w:val="en-US" w:eastAsia="zh-CN" w:bidi="ar"/>
              </w:rPr>
              <w:t xml:space="preserve">1,007.91 </w:t>
            </w:r>
          </w:p>
        </w:tc>
      </w:tr>
      <w:tr>
        <w:tblPrEx>
          <w:tblCellMar>
            <w:top w:w="0" w:type="dxa"/>
            <w:left w:w="108" w:type="dxa"/>
            <w:bottom w:w="0" w:type="dxa"/>
            <w:right w:w="108" w:type="dxa"/>
          </w:tblCellMar>
        </w:tblPrEx>
        <w:trPr>
          <w:trHeight w:val="39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仿宋" w:hAnsi="仿宋" w:eastAsia="仿宋" w:cs="宋体"/>
                <w:b/>
                <w:bCs/>
                <w:color w:val="000000"/>
                <w:kern w:val="0"/>
                <w:sz w:val="24"/>
                <w:szCs w:val="24"/>
                <w:lang w:val="en-US" w:eastAsia="zh-CN"/>
              </w:rPr>
              <w:t>经济分类支出合计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val="en-US" w:eastAsia="zh-CN" w:bidi="ar"/>
              </w:rPr>
              <w:t xml:space="preserve">1,568.90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val="en-US" w:eastAsia="zh-CN" w:bidi="ar"/>
              </w:rPr>
              <w:t xml:space="preserve">2,152.10 </w:t>
            </w:r>
          </w:p>
        </w:tc>
        <w:tc>
          <w:tcPr>
            <w:tcW w:w="2071" w:type="dxa"/>
            <w:gridSpan w:val="2"/>
            <w:tcBorders>
              <w:top w:val="nil"/>
              <w:left w:val="nil"/>
              <w:bottom w:val="single" w:color="auto" w:sz="4" w:space="0"/>
              <w:right w:val="single" w:color="auto" w:sz="4" w:space="0"/>
            </w:tcBorders>
            <w:vAlign w:val="center"/>
          </w:tcPr>
          <w:p>
            <w:pPr>
              <w:widowControl/>
              <w:jc w:val="right"/>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val="en-US" w:eastAsia="zh-CN" w:bidi="ar"/>
              </w:rPr>
              <w:t xml:space="preserve">2,152.10 </w:t>
            </w:r>
          </w:p>
        </w:tc>
      </w:tr>
      <w:tr>
        <w:tblPrEx>
          <w:tblCellMar>
            <w:top w:w="0" w:type="dxa"/>
            <w:left w:w="108" w:type="dxa"/>
            <w:bottom w:w="0" w:type="dxa"/>
            <w:right w:w="108" w:type="dxa"/>
          </w:tblCellMar>
        </w:tblPrEx>
        <w:trPr>
          <w:trHeight w:val="39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三、年末结转和结余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cs="宋体"/>
                <w:b w:val="0"/>
                <w:bCs w:val="0"/>
                <w:color w:val="000000"/>
                <w:kern w:val="0"/>
                <w:sz w:val="22"/>
                <w:lang w:val="en-US" w:eastAsia="zh-CN" w:bidi="ar"/>
              </w:rPr>
            </w:pPr>
            <w:r>
              <w:rPr>
                <w:rFonts w:hint="eastAsia" w:ascii="宋体" w:hAnsi="宋体" w:cs="宋体"/>
                <w:b w:val="0"/>
                <w:bCs w:val="0"/>
                <w:color w:val="000000"/>
                <w:kern w:val="0"/>
                <w:sz w:val="22"/>
                <w:lang w:val="en-US" w:eastAsia="zh-CN" w:bidi="ar"/>
              </w:rPr>
              <w:t xml:space="preserve">0.00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cs="宋体"/>
                <w:b w:val="0"/>
                <w:bCs w:val="0"/>
                <w:color w:val="000000"/>
                <w:kern w:val="0"/>
                <w:sz w:val="22"/>
                <w:lang w:val="en-US" w:eastAsia="zh-CN" w:bidi="ar"/>
              </w:rPr>
            </w:pPr>
            <w:r>
              <w:rPr>
                <w:rFonts w:hint="eastAsia" w:ascii="宋体" w:hAnsi="宋体" w:cs="宋体"/>
                <w:b w:val="0"/>
                <w:bCs w:val="0"/>
                <w:color w:val="000000"/>
                <w:kern w:val="0"/>
                <w:sz w:val="22"/>
                <w:lang w:val="en-US" w:eastAsia="zh-CN" w:bidi="ar"/>
              </w:rPr>
              <w:t xml:space="preserve">220.86 </w:t>
            </w:r>
          </w:p>
        </w:tc>
        <w:tc>
          <w:tcPr>
            <w:tcW w:w="2071" w:type="dxa"/>
            <w:gridSpan w:val="2"/>
            <w:tcBorders>
              <w:top w:val="nil"/>
              <w:left w:val="nil"/>
              <w:bottom w:val="single" w:color="auto" w:sz="4" w:space="0"/>
              <w:right w:val="single" w:color="auto" w:sz="4" w:space="0"/>
            </w:tcBorders>
            <w:vAlign w:val="center"/>
          </w:tcPr>
          <w:p>
            <w:pPr>
              <w:widowControl/>
              <w:jc w:val="right"/>
              <w:textAlignment w:val="center"/>
              <w:rPr>
                <w:rFonts w:hint="eastAsia" w:ascii="宋体" w:hAnsi="宋体" w:cs="宋体"/>
                <w:b w:val="0"/>
                <w:bCs w:val="0"/>
                <w:color w:val="000000"/>
                <w:kern w:val="0"/>
                <w:sz w:val="22"/>
                <w:lang w:val="en-US" w:eastAsia="zh-CN" w:bidi="ar"/>
              </w:rPr>
            </w:pPr>
            <w:r>
              <w:rPr>
                <w:rFonts w:hint="eastAsia" w:ascii="宋体" w:hAnsi="宋体" w:cs="宋体"/>
                <w:b w:val="0"/>
                <w:bCs w:val="0"/>
                <w:color w:val="000000"/>
                <w:kern w:val="0"/>
                <w:sz w:val="22"/>
                <w:lang w:val="en-US" w:eastAsia="zh-CN" w:bidi="ar"/>
              </w:rPr>
              <w:t xml:space="preserve">220.86 </w:t>
            </w:r>
          </w:p>
        </w:tc>
      </w:tr>
      <w:tr>
        <w:tblPrEx>
          <w:tblCellMar>
            <w:top w:w="0" w:type="dxa"/>
            <w:left w:w="108" w:type="dxa"/>
            <w:bottom w:w="0" w:type="dxa"/>
            <w:right w:w="108" w:type="dxa"/>
          </w:tblCellMar>
        </w:tblPrEx>
        <w:trPr>
          <w:trHeight w:val="39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cs="宋体"/>
                <w:b/>
                <w:bCs/>
                <w:color w:val="000000"/>
                <w:kern w:val="0"/>
                <w:sz w:val="22"/>
                <w:lang w:val="en-US" w:eastAsia="zh-CN" w:bidi="ar"/>
              </w:rPr>
            </w:pPr>
            <w:r>
              <w:rPr>
                <w:rFonts w:hint="eastAsia" w:ascii="宋体" w:hAnsi="宋体" w:cs="宋体"/>
                <w:b/>
                <w:bCs/>
                <w:color w:val="000000"/>
                <w:kern w:val="0"/>
                <w:sz w:val="22"/>
                <w:lang w:val="en-US" w:eastAsia="zh-CN" w:bidi="ar"/>
              </w:rPr>
              <w:t xml:space="preserve">1,568.90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cs="宋体"/>
                <w:b/>
                <w:bCs/>
                <w:color w:val="000000"/>
                <w:kern w:val="0"/>
                <w:sz w:val="22"/>
                <w:lang w:val="en-US" w:eastAsia="zh-CN" w:bidi="ar"/>
              </w:rPr>
            </w:pPr>
            <w:r>
              <w:rPr>
                <w:rFonts w:hint="eastAsia" w:ascii="宋体" w:hAnsi="宋体" w:cs="宋体"/>
                <w:b/>
                <w:bCs/>
                <w:color w:val="000000"/>
                <w:kern w:val="0"/>
                <w:sz w:val="22"/>
                <w:lang w:val="en-US" w:eastAsia="zh-CN" w:bidi="ar"/>
              </w:rPr>
              <w:t xml:space="preserve">2,372.96 </w:t>
            </w:r>
          </w:p>
        </w:tc>
        <w:tc>
          <w:tcPr>
            <w:tcW w:w="2071" w:type="dxa"/>
            <w:gridSpan w:val="2"/>
            <w:tcBorders>
              <w:top w:val="nil"/>
              <w:left w:val="nil"/>
              <w:bottom w:val="single" w:color="auto" w:sz="4" w:space="0"/>
              <w:right w:val="single" w:color="auto" w:sz="4" w:space="0"/>
            </w:tcBorders>
            <w:vAlign w:val="center"/>
          </w:tcPr>
          <w:p>
            <w:pPr>
              <w:widowControl/>
              <w:jc w:val="right"/>
              <w:textAlignment w:val="center"/>
              <w:rPr>
                <w:rFonts w:hint="eastAsia" w:ascii="宋体" w:hAnsi="宋体" w:cs="宋体"/>
                <w:b/>
                <w:bCs/>
                <w:color w:val="000000"/>
                <w:kern w:val="0"/>
                <w:sz w:val="22"/>
                <w:lang w:val="en-US" w:eastAsia="zh-CN" w:bidi="ar"/>
              </w:rPr>
            </w:pPr>
            <w:r>
              <w:rPr>
                <w:rFonts w:hint="eastAsia" w:ascii="宋体" w:hAnsi="宋体" w:cs="宋体"/>
                <w:b/>
                <w:bCs/>
                <w:color w:val="000000"/>
                <w:kern w:val="0"/>
                <w:sz w:val="22"/>
                <w:lang w:val="en-US" w:eastAsia="zh-CN" w:bidi="ar"/>
              </w:rPr>
              <w:t xml:space="preserve">2,372.96 </w:t>
            </w:r>
          </w:p>
        </w:tc>
      </w:tr>
    </w:tbl>
    <w:p>
      <w:pPr>
        <w:ind w:firstLine="200" w:firstLineChars="200"/>
        <w:rPr>
          <w:rFonts w:ascii="宋体" w:cs="Times New Roman"/>
          <w:bCs/>
          <w:color w:val="000000"/>
          <w:sz w:val="10"/>
          <w:szCs w:val="10"/>
          <w:highlight w:val="yellow"/>
        </w:rPr>
      </w:pPr>
    </w:p>
    <w:p>
      <w:pPr>
        <w:spacing w:line="360" w:lineRule="auto"/>
        <w:ind w:firstLine="600" w:firstLineChars="200"/>
        <w:rPr>
          <w:rFonts w:ascii="仿宋" w:eastAsia="仿宋" w:cs="Times New Roman"/>
          <w:sz w:val="30"/>
          <w:szCs w:val="30"/>
        </w:rPr>
      </w:pPr>
      <w:bookmarkStart w:id="3" w:name="_Hlk10726825"/>
      <w:bookmarkStart w:id="4" w:name="_Hlk10625811"/>
      <w:r>
        <w:rPr>
          <w:rFonts w:hint="eastAsia" w:ascii="仿宋" w:eastAsia="仿宋" w:cs="Times New Roman"/>
          <w:sz w:val="30"/>
          <w:szCs w:val="30"/>
        </w:rPr>
        <w:t>②偏离原因</w:t>
      </w:r>
    </w:p>
    <w:p>
      <w:pPr>
        <w:spacing w:line="360" w:lineRule="auto"/>
        <w:ind w:firstLine="600" w:firstLineChars="200"/>
        <w:rPr>
          <w:rFonts w:hint="eastAsia" w:ascii="仿宋" w:eastAsia="仿宋" w:cs="Times New Roman"/>
          <w:sz w:val="30"/>
          <w:szCs w:val="30"/>
          <w:highlight w:val="none"/>
        </w:rPr>
      </w:pPr>
      <w:r>
        <w:rPr>
          <w:rFonts w:hint="eastAsia" w:ascii="仿宋" w:eastAsia="仿宋" w:cs="Times New Roman"/>
          <w:sz w:val="30"/>
          <w:szCs w:val="30"/>
          <w:highlight w:val="none"/>
        </w:rPr>
        <w:t>区</w:t>
      </w:r>
      <w:r>
        <w:rPr>
          <w:rFonts w:hint="eastAsia" w:ascii="仿宋" w:eastAsia="仿宋" w:cs="Times New Roman"/>
          <w:sz w:val="30"/>
          <w:szCs w:val="30"/>
          <w:highlight w:val="none"/>
          <w:lang w:eastAsia="zh-CN"/>
        </w:rPr>
        <w:t>人民政府办公室</w:t>
      </w:r>
      <w:r>
        <w:rPr>
          <w:rFonts w:hint="eastAsia" w:ascii="仿宋" w:eastAsia="仿宋" w:cs="Times New Roman"/>
          <w:sz w:val="30"/>
          <w:szCs w:val="30"/>
          <w:highlight w:val="none"/>
        </w:rPr>
        <w:t>2020年度部门预算收入（一般公共预算收入）1,568.90 万元，实际预算支出2,152.10 万元，增加预算收入</w:t>
      </w:r>
      <w:r>
        <w:rPr>
          <w:rFonts w:hint="eastAsia" w:ascii="仿宋" w:eastAsia="仿宋" w:cs="Times New Roman"/>
          <w:sz w:val="30"/>
          <w:szCs w:val="30"/>
          <w:highlight w:val="none"/>
          <w:lang w:val="en-US" w:eastAsia="zh-CN"/>
        </w:rPr>
        <w:t>583.2</w:t>
      </w:r>
      <w:r>
        <w:rPr>
          <w:rFonts w:hint="eastAsia" w:ascii="仿宋" w:eastAsia="仿宋" w:cs="Times New Roman"/>
          <w:sz w:val="30"/>
          <w:szCs w:val="30"/>
          <w:highlight w:val="none"/>
        </w:rPr>
        <w:t>万元。其中：增加基本支出82.29万元，增加项目支出500.91万元。</w:t>
      </w:r>
    </w:p>
    <w:p>
      <w:pPr>
        <w:pStyle w:val="2"/>
        <w:ind w:left="0" w:leftChars="0" w:firstLine="600" w:firstLineChars="200"/>
        <w:rPr>
          <w:rFonts w:hint="eastAsia"/>
        </w:rPr>
      </w:pPr>
      <w:r>
        <w:rPr>
          <w:rFonts w:hint="eastAsia" w:ascii="仿宋" w:hAnsi="Calibri" w:eastAsia="仿宋" w:cs="Times New Roman"/>
          <w:kern w:val="2"/>
          <w:sz w:val="30"/>
          <w:szCs w:val="30"/>
          <w:highlight w:val="none"/>
          <w:lang w:val="en-US" w:eastAsia="zh-CN" w:bidi="ar-SA"/>
        </w:rPr>
        <w:t>增加的基本支出</w:t>
      </w:r>
      <w:r>
        <w:rPr>
          <w:rFonts w:hint="eastAsia" w:ascii="仿宋" w:eastAsia="仿宋" w:cs="Times New Roman"/>
          <w:kern w:val="2"/>
          <w:sz w:val="30"/>
          <w:szCs w:val="30"/>
          <w:highlight w:val="none"/>
          <w:lang w:val="en-US" w:eastAsia="zh-CN" w:bidi="ar-SA"/>
        </w:rPr>
        <w:t>主要是</w:t>
      </w:r>
      <w:r>
        <w:rPr>
          <w:rFonts w:hint="eastAsia" w:ascii="仿宋" w:hAnsi="Calibri" w:eastAsia="仿宋" w:cs="Times New Roman"/>
          <w:kern w:val="2"/>
          <w:sz w:val="30"/>
          <w:szCs w:val="30"/>
          <w:highlight w:val="none"/>
          <w:lang w:val="en-US" w:eastAsia="zh-CN" w:bidi="ar-SA"/>
        </w:rPr>
        <w:t>人员经费支出</w:t>
      </w:r>
      <w:r>
        <w:rPr>
          <w:rFonts w:hint="eastAsia" w:ascii="仿宋" w:eastAsia="仿宋" w:cs="Times New Roman"/>
          <w:kern w:val="2"/>
          <w:sz w:val="30"/>
          <w:szCs w:val="30"/>
          <w:highlight w:val="none"/>
          <w:lang w:val="en-US" w:eastAsia="zh-CN" w:bidi="ar-SA"/>
        </w:rPr>
        <w:t>增加</w:t>
      </w:r>
      <w:r>
        <w:rPr>
          <w:rFonts w:hint="eastAsia" w:ascii="仿宋" w:hAnsi="Calibri" w:eastAsia="仿宋" w:cs="Times New Roman"/>
          <w:kern w:val="2"/>
          <w:sz w:val="30"/>
          <w:szCs w:val="30"/>
          <w:highlight w:val="none"/>
          <w:lang w:val="en-US" w:eastAsia="zh-CN" w:bidi="ar-SA"/>
        </w:rPr>
        <w:t>，</w:t>
      </w:r>
      <w:r>
        <w:rPr>
          <w:rFonts w:hint="eastAsia" w:ascii="仿宋" w:eastAsia="仿宋" w:cs="Times New Roman"/>
          <w:sz w:val="30"/>
          <w:szCs w:val="30"/>
          <w:highlight w:val="none"/>
          <w:lang w:eastAsia="zh-CN"/>
        </w:rPr>
        <w:t>由于</w:t>
      </w:r>
      <w:r>
        <w:rPr>
          <w:rFonts w:hint="eastAsia" w:ascii="仿宋" w:eastAsia="仿宋" w:cs="Times New Roman"/>
          <w:sz w:val="30"/>
          <w:szCs w:val="30"/>
          <w:highlight w:val="none"/>
          <w:lang w:val="en-US" w:eastAsia="zh-CN"/>
        </w:rPr>
        <w:t>2020年</w:t>
      </w:r>
      <w:r>
        <w:rPr>
          <w:rFonts w:hint="eastAsia" w:ascii="仿宋" w:eastAsia="仿宋" w:cs="Times New Roman"/>
          <w:sz w:val="30"/>
          <w:szCs w:val="30"/>
          <w:highlight w:val="none"/>
          <w:lang w:eastAsia="zh-CN"/>
        </w:rPr>
        <w:t>工资及社保、医保等水平提高，人员经费增加</w:t>
      </w:r>
      <w:r>
        <w:rPr>
          <w:rFonts w:hint="eastAsia" w:ascii="仿宋" w:hAnsi="Calibri" w:eastAsia="仿宋" w:cs="Times New Roman"/>
          <w:kern w:val="2"/>
          <w:sz w:val="30"/>
          <w:szCs w:val="30"/>
          <w:highlight w:val="none"/>
          <w:lang w:val="en-US" w:eastAsia="zh-CN" w:bidi="ar-SA"/>
        </w:rPr>
        <w:t>。</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2020年因受疫情和洪涝灾害影响，</w:t>
      </w:r>
      <w:r>
        <w:rPr>
          <w:rFonts w:hint="eastAsia" w:ascii="仿宋" w:eastAsia="仿宋" w:cs="Times New Roman"/>
          <w:sz w:val="30"/>
          <w:szCs w:val="30"/>
          <w:lang w:eastAsia="zh-CN"/>
        </w:rPr>
        <w:t>项目支出增加</w:t>
      </w:r>
      <w:r>
        <w:rPr>
          <w:rFonts w:hint="eastAsia" w:ascii="仿宋" w:eastAsia="仿宋" w:cs="Times New Roman"/>
          <w:sz w:val="30"/>
          <w:szCs w:val="30"/>
        </w:rPr>
        <w:t>。</w:t>
      </w:r>
    </w:p>
    <w:p>
      <w:pPr>
        <w:spacing w:line="360" w:lineRule="auto"/>
        <w:ind w:firstLine="600" w:firstLineChars="200"/>
        <w:rPr>
          <w:rFonts w:ascii="仿宋" w:eastAsia="仿宋" w:cs="Times New Roman"/>
          <w:sz w:val="30"/>
          <w:szCs w:val="30"/>
          <w:highlight w:val="yellow"/>
        </w:rPr>
      </w:pPr>
      <w:r>
        <w:rPr>
          <w:rFonts w:hint="eastAsia" w:ascii="仿宋" w:eastAsia="仿宋" w:cs="Times New Roman"/>
          <w:sz w:val="30"/>
          <w:szCs w:val="30"/>
        </w:rPr>
        <w:t>增加的</w:t>
      </w:r>
      <w:r>
        <w:rPr>
          <w:rFonts w:hint="eastAsia" w:ascii="仿宋" w:eastAsia="仿宋" w:cs="Times New Roman"/>
          <w:sz w:val="30"/>
          <w:szCs w:val="30"/>
          <w:lang w:eastAsia="zh-CN"/>
        </w:rPr>
        <w:t>项目</w:t>
      </w:r>
      <w:r>
        <w:rPr>
          <w:rFonts w:hint="eastAsia" w:ascii="仿宋" w:eastAsia="仿宋" w:cs="Times New Roman"/>
          <w:sz w:val="30"/>
          <w:szCs w:val="30"/>
        </w:rPr>
        <w:t>支出主要用于购买新冠肺炎政府救助保险费用</w:t>
      </w:r>
      <w:r>
        <w:rPr>
          <w:rFonts w:hint="eastAsia" w:ascii="仿宋" w:eastAsia="仿宋" w:cs="Times New Roman"/>
          <w:sz w:val="30"/>
          <w:szCs w:val="30"/>
          <w:lang w:eastAsia="zh-CN"/>
        </w:rPr>
        <w:t>、</w:t>
      </w:r>
      <w:r>
        <w:rPr>
          <w:rFonts w:hint="eastAsia" w:ascii="仿宋" w:eastAsia="仿宋" w:cs="Times New Roman"/>
          <w:sz w:val="30"/>
          <w:szCs w:val="30"/>
        </w:rPr>
        <w:t>区管党费支持疫情防控工作资金</w:t>
      </w:r>
      <w:r>
        <w:rPr>
          <w:rFonts w:hint="eastAsia" w:ascii="仿宋" w:eastAsia="仿宋" w:cs="Times New Roman"/>
          <w:sz w:val="30"/>
          <w:szCs w:val="30"/>
          <w:lang w:eastAsia="zh-CN"/>
        </w:rPr>
        <w:t>、政府投资项目评审费用扶贫办绩效评价费用、2019年城乡社区环境卫生支出、精准扶贫综合治安保险费用、扶贫小额信贷贴息资金（金融办）、防贫保资金等支出。区政府办公室2020年度资金决算中反映的“防贫保”项目资金440.44万元、综治保险经费22.8万元、扶贫项目资金绩效评价资金9万元，已纳入2020年度区级财政扶贫资金预算内，并没有列入区政府办公室年度预算中；2020年个体户纾困专项贷款贴息资金追加预算128627.1元。2020年初，受新冠疫情影响，市政府出台《市人民政府办公厅关于印发武汉市应对新冠疫情影响个体工商户纾困专项资金使用管理办法的通知》（武政办〔2020〕31号）和《市人民政府关于进一步完善政策性担保和纾困贴息机制促进中小微企业稳定发展的意见》（武政规〔2020〕16号），对获得纾困专项贷款资金的个体工商户给予贴息支持，2020年获得贴息的52笔个体工商户首次贴息资金共计128627.1元，该笔款项属追加预算资金，因此未纳入2020年预算资金</w:t>
      </w:r>
      <w:r>
        <w:rPr>
          <w:rFonts w:hint="eastAsia" w:ascii="仿宋" w:eastAsia="仿宋" w:cs="Times New Roman"/>
          <w:sz w:val="30"/>
          <w:szCs w:val="30"/>
        </w:rPr>
        <w:t>。</w:t>
      </w:r>
    </w:p>
    <w:p>
      <w:pPr>
        <w:ind w:firstLine="600" w:firstLineChars="200"/>
        <w:outlineLvl w:val="0"/>
        <w:rPr>
          <w:rFonts w:ascii="黑体" w:eastAsia="黑体" w:cs="Times New Roman"/>
          <w:bCs/>
          <w:color w:val="000000"/>
          <w:sz w:val="30"/>
          <w:szCs w:val="30"/>
          <w:highlight w:val="none"/>
        </w:rPr>
      </w:pPr>
      <w:r>
        <w:rPr>
          <w:rFonts w:hint="eastAsia" w:ascii="黑体" w:eastAsia="黑体" w:cs="Times New Roman"/>
          <w:bCs/>
          <w:color w:val="000000"/>
          <w:sz w:val="30"/>
          <w:szCs w:val="30"/>
          <w:highlight w:val="none"/>
        </w:rPr>
        <w:t>2.绩效目标完成情况分析</w:t>
      </w:r>
    </w:p>
    <w:bookmarkEnd w:id="3"/>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区</w:t>
      </w:r>
      <w:r>
        <w:rPr>
          <w:rFonts w:hint="eastAsia" w:ascii="仿宋" w:eastAsia="仿宋" w:cs="Times New Roman"/>
          <w:sz w:val="30"/>
          <w:szCs w:val="30"/>
          <w:highlight w:val="none"/>
          <w:lang w:eastAsia="zh-CN"/>
        </w:rPr>
        <w:t>人民政府办公室</w:t>
      </w:r>
      <w:r>
        <w:rPr>
          <w:rFonts w:hint="eastAsia" w:ascii="仿宋" w:eastAsia="仿宋" w:cs="Times New Roman"/>
          <w:sz w:val="30"/>
          <w:szCs w:val="30"/>
          <w:highlight w:val="none"/>
        </w:rPr>
        <w:t>完成2020年度整体绩效及9个项目年度绩效目标，具体情况如下：</w:t>
      </w:r>
    </w:p>
    <w:p>
      <w:pPr>
        <w:ind w:firstLine="602" w:firstLineChars="200"/>
        <w:rPr>
          <w:rFonts w:ascii="仿宋" w:eastAsia="仿宋" w:cs="Times New Roman"/>
          <w:sz w:val="30"/>
          <w:szCs w:val="30"/>
          <w:highlight w:val="none"/>
        </w:rPr>
      </w:pPr>
      <w:r>
        <w:rPr>
          <w:rFonts w:hint="eastAsia" w:ascii="仿宋" w:eastAsia="仿宋" w:cs="Times New Roman"/>
          <w:b/>
          <w:bCs/>
          <w:sz w:val="30"/>
          <w:szCs w:val="30"/>
          <w:highlight w:val="none"/>
        </w:rPr>
        <w:t>年度目标1</w:t>
      </w:r>
      <w:r>
        <w:rPr>
          <w:rFonts w:hint="eastAsia" w:ascii="仿宋" w:eastAsia="仿宋" w:cs="Times New Roman"/>
          <w:sz w:val="30"/>
          <w:szCs w:val="30"/>
          <w:highlight w:val="none"/>
        </w:rPr>
        <w:t>：政务督查，区政府工作报告督办落实率100%，报告获人大代表通过率90%以上；省、市、区领导交办重要批示件督办督查率100%。</w:t>
      </w:r>
    </w:p>
    <w:p>
      <w:pPr>
        <w:ind w:firstLine="602" w:firstLineChars="200"/>
        <w:rPr>
          <w:rFonts w:ascii="仿宋" w:eastAsia="仿宋" w:cs="Times New Roman"/>
          <w:b/>
          <w:sz w:val="30"/>
          <w:szCs w:val="30"/>
          <w:highlight w:val="none"/>
        </w:rPr>
      </w:pPr>
      <w:r>
        <w:rPr>
          <w:rFonts w:hint="eastAsia" w:ascii="仿宋" w:eastAsia="仿宋" w:cs="Times New Roman"/>
          <w:b/>
          <w:sz w:val="30"/>
          <w:szCs w:val="30"/>
          <w:highlight w:val="none"/>
        </w:rPr>
        <w:t>年度绩效目标完成情况：</w:t>
      </w:r>
      <w:r>
        <w:rPr>
          <w:rFonts w:hint="eastAsia" w:ascii="仿宋" w:eastAsia="仿宋" w:cs="Times New Roman"/>
          <w:b/>
          <w:sz w:val="30"/>
          <w:szCs w:val="30"/>
          <w:highlight w:val="none"/>
        </w:rPr>
        <w:tab/>
      </w:r>
    </w:p>
    <w:p>
      <w:pPr>
        <w:numPr>
          <w:ilvl w:val="0"/>
          <w:numId w:val="1"/>
        </w:numPr>
        <w:spacing w:line="360" w:lineRule="auto"/>
        <w:ind w:firstLine="600" w:firstLineChars="200"/>
        <w:rPr>
          <w:rFonts w:hint="eastAsia" w:ascii="仿宋" w:eastAsia="仿宋" w:cs="Times New Roman"/>
          <w:sz w:val="30"/>
          <w:szCs w:val="30"/>
          <w:highlight w:val="none"/>
        </w:rPr>
      </w:pPr>
      <w:r>
        <w:rPr>
          <w:rFonts w:hint="eastAsia" w:ascii="仿宋" w:eastAsia="仿宋" w:cs="Times New Roman"/>
          <w:sz w:val="30"/>
          <w:szCs w:val="30"/>
          <w:highlight w:val="none"/>
        </w:rPr>
        <w:t>产出指标完成情况分析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w:t>
      </w:r>
      <w:r>
        <w:rPr>
          <w:rFonts w:hint="eastAsia" w:ascii="仿宋" w:eastAsia="仿宋" w:cs="Times New Roman"/>
          <w:sz w:val="30"/>
          <w:szCs w:val="30"/>
          <w:highlight w:val="none"/>
          <w:lang w:eastAsia="zh-CN"/>
        </w:rPr>
        <w:t>数量</w:t>
      </w:r>
      <w:r>
        <w:rPr>
          <w:rFonts w:hint="eastAsia" w:ascii="仿宋" w:eastAsia="仿宋" w:cs="Times New Roman"/>
          <w:sz w:val="30"/>
          <w:szCs w:val="30"/>
          <w:highlight w:val="none"/>
        </w:rPr>
        <w:t>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lang w:eastAsia="zh-CN"/>
        </w:rPr>
        <w:t>数量</w:t>
      </w:r>
      <w:r>
        <w:rPr>
          <w:rFonts w:hint="eastAsia" w:ascii="仿宋" w:eastAsia="仿宋" w:cs="Times New Roman"/>
          <w:sz w:val="30"/>
          <w:szCs w:val="30"/>
          <w:highlight w:val="none"/>
        </w:rPr>
        <w:t>指标设置了3个三级指标，下发《督查通知》</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印发督查通报</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登记、下发领导批示事项办结率。通过评价，该指标均已完成，已达到预期目标。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lang w:val="en-US" w:eastAsia="zh-CN"/>
        </w:rPr>
        <w:t>2</w:t>
      </w:r>
      <w:r>
        <w:rPr>
          <w:rFonts w:hint="eastAsia" w:ascii="仿宋" w:eastAsia="仿宋" w:cs="Times New Roman"/>
          <w:sz w:val="30"/>
          <w:szCs w:val="30"/>
          <w:highlight w:val="none"/>
        </w:rPr>
        <w:t>）质量指标完成情况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质量指标设置了</w:t>
      </w:r>
      <w:r>
        <w:rPr>
          <w:rFonts w:hint="eastAsia" w:ascii="仿宋" w:eastAsia="仿宋" w:cs="Times New Roman"/>
          <w:sz w:val="30"/>
          <w:szCs w:val="30"/>
          <w:highlight w:val="none"/>
          <w:lang w:val="en-US" w:eastAsia="zh-CN"/>
        </w:rPr>
        <w:t>2</w:t>
      </w:r>
      <w:r>
        <w:rPr>
          <w:rFonts w:hint="eastAsia" w:ascii="仿宋" w:eastAsia="仿宋" w:cs="Times New Roman"/>
          <w:sz w:val="30"/>
          <w:szCs w:val="30"/>
          <w:highlight w:val="none"/>
        </w:rPr>
        <w:t>个三级指标，重要批示件督办督查率</w:t>
      </w:r>
      <w:r>
        <w:rPr>
          <w:rFonts w:hint="eastAsia" w:ascii="仿宋" w:eastAsia="仿宋" w:cs="Times New Roman"/>
          <w:sz w:val="30"/>
          <w:szCs w:val="30"/>
          <w:highlight w:val="none"/>
          <w:lang w:val="en-US" w:eastAsia="zh-CN"/>
        </w:rPr>
        <w:t>100%，</w:t>
      </w:r>
      <w:r>
        <w:rPr>
          <w:rFonts w:hint="eastAsia" w:ascii="仿宋" w:eastAsia="仿宋" w:cs="Times New Roman"/>
          <w:sz w:val="30"/>
          <w:szCs w:val="30"/>
          <w:highlight w:val="none"/>
        </w:rPr>
        <w:t>政务督查，区政府工作报告督办落实率</w:t>
      </w:r>
      <w:r>
        <w:rPr>
          <w:rFonts w:hint="eastAsia" w:ascii="仿宋" w:eastAsia="仿宋" w:cs="Times New Roman"/>
          <w:sz w:val="30"/>
          <w:szCs w:val="30"/>
          <w:highlight w:val="none"/>
          <w:lang w:val="en-US" w:eastAsia="zh-CN"/>
        </w:rPr>
        <w:t>100%</w:t>
      </w:r>
      <w:r>
        <w:rPr>
          <w:rFonts w:hint="eastAsia" w:ascii="仿宋" w:eastAsia="仿宋" w:cs="Times New Roman"/>
          <w:sz w:val="30"/>
          <w:szCs w:val="30"/>
          <w:highlight w:val="none"/>
        </w:rPr>
        <w:t>。通过评价，该指标均已完成，已达到预期目标。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（2）效益指标完成情况分析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1）可持续发展影响指标完成情况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可持续发展影响指标设置了2个三级指标。增强政府公信力</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项目经费有保障。通过评价，该指标均已完成，已达到预期目标。</w:t>
      </w:r>
    </w:p>
    <w:p>
      <w:pPr>
        <w:ind w:firstLine="602" w:firstLineChars="200"/>
        <w:rPr>
          <w:rFonts w:ascii="仿宋" w:eastAsia="仿宋" w:cs="Times New Roman"/>
          <w:sz w:val="30"/>
          <w:szCs w:val="30"/>
          <w:highlight w:val="none"/>
        </w:rPr>
      </w:pPr>
      <w:r>
        <w:rPr>
          <w:rFonts w:hint="eastAsia" w:ascii="仿宋" w:eastAsia="仿宋" w:cs="Times New Roman"/>
          <w:b/>
          <w:bCs/>
          <w:sz w:val="30"/>
          <w:szCs w:val="30"/>
          <w:highlight w:val="none"/>
        </w:rPr>
        <w:t>年度目标2：</w:t>
      </w:r>
      <w:r>
        <w:rPr>
          <w:rFonts w:hint="eastAsia" w:ascii="仿宋" w:eastAsia="仿宋" w:cs="Times New Roman"/>
          <w:b w:val="0"/>
          <w:bCs w:val="0"/>
          <w:sz w:val="30"/>
          <w:szCs w:val="30"/>
          <w:highlight w:val="none"/>
        </w:rPr>
        <w:t>议题案办理，议题案办复率100%、见面率100%、满意率和基本满意率95%以上</w:t>
      </w:r>
      <w:r>
        <w:rPr>
          <w:rFonts w:hint="eastAsia" w:ascii="仿宋" w:eastAsia="仿宋" w:cs="Times New Roman"/>
          <w:sz w:val="30"/>
          <w:szCs w:val="30"/>
          <w:highlight w:val="none"/>
        </w:rPr>
        <w:t>。</w:t>
      </w:r>
    </w:p>
    <w:p>
      <w:pPr>
        <w:ind w:firstLine="602" w:firstLineChars="200"/>
        <w:rPr>
          <w:rFonts w:ascii="仿宋" w:eastAsia="仿宋" w:cs="Times New Roman"/>
          <w:b/>
          <w:sz w:val="30"/>
          <w:szCs w:val="30"/>
          <w:highlight w:val="none"/>
        </w:rPr>
      </w:pPr>
      <w:r>
        <w:rPr>
          <w:rFonts w:hint="eastAsia" w:ascii="仿宋" w:eastAsia="仿宋" w:cs="Times New Roman"/>
          <w:b/>
          <w:sz w:val="30"/>
          <w:szCs w:val="30"/>
          <w:highlight w:val="none"/>
        </w:rPr>
        <w:t>年度绩效目标完成情况：</w:t>
      </w:r>
      <w:r>
        <w:rPr>
          <w:rFonts w:hint="eastAsia" w:ascii="仿宋" w:eastAsia="仿宋" w:cs="Times New Roman"/>
          <w:b/>
          <w:sz w:val="30"/>
          <w:szCs w:val="30"/>
          <w:highlight w:val="none"/>
        </w:rPr>
        <w:tab/>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（1）产出指标完成情况分析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lang w:val="en-US" w:eastAsia="zh-CN"/>
        </w:rPr>
        <w:t>1</w:t>
      </w:r>
      <w:r>
        <w:rPr>
          <w:rFonts w:hint="eastAsia" w:ascii="仿宋" w:eastAsia="仿宋" w:cs="Times New Roman"/>
          <w:sz w:val="30"/>
          <w:szCs w:val="30"/>
          <w:highlight w:val="none"/>
        </w:rPr>
        <w:t>）质量指标完成情况</w:t>
      </w:r>
    </w:p>
    <w:p>
      <w:pPr>
        <w:spacing w:line="360" w:lineRule="auto"/>
        <w:ind w:firstLine="600" w:firstLineChars="200"/>
        <w:rPr>
          <w:highlight w:val="none"/>
        </w:rPr>
      </w:pPr>
      <w:r>
        <w:rPr>
          <w:rFonts w:hint="eastAsia" w:ascii="仿宋" w:eastAsia="仿宋" w:cs="Times New Roman"/>
          <w:sz w:val="30"/>
          <w:szCs w:val="30"/>
          <w:highlight w:val="none"/>
        </w:rPr>
        <w:t>质量指标设置了</w:t>
      </w:r>
      <w:r>
        <w:rPr>
          <w:rFonts w:hint="eastAsia" w:ascii="仿宋" w:eastAsia="仿宋" w:cs="Times New Roman"/>
          <w:sz w:val="30"/>
          <w:szCs w:val="30"/>
          <w:highlight w:val="none"/>
          <w:lang w:val="en-US" w:eastAsia="zh-CN"/>
        </w:rPr>
        <w:t>3</w:t>
      </w:r>
      <w:r>
        <w:rPr>
          <w:rFonts w:hint="eastAsia" w:ascii="仿宋" w:eastAsia="仿宋" w:cs="Times New Roman"/>
          <w:sz w:val="30"/>
          <w:szCs w:val="30"/>
          <w:highlight w:val="none"/>
        </w:rPr>
        <w:t>个三级指标。区议题案办复率</w:t>
      </w:r>
      <w:r>
        <w:rPr>
          <w:rFonts w:hint="eastAsia" w:ascii="仿宋" w:eastAsia="仿宋" w:cs="Times New Roman"/>
          <w:sz w:val="30"/>
          <w:szCs w:val="30"/>
          <w:highlight w:val="none"/>
          <w:lang w:val="en-US" w:eastAsia="zh-CN"/>
        </w:rPr>
        <w:t>100%；</w:t>
      </w:r>
      <w:r>
        <w:rPr>
          <w:rFonts w:hint="eastAsia" w:ascii="仿宋" w:eastAsia="仿宋" w:cs="Times New Roman"/>
          <w:sz w:val="30"/>
          <w:szCs w:val="30"/>
          <w:highlight w:val="none"/>
        </w:rPr>
        <w:t>区议题案见面率</w:t>
      </w:r>
      <w:r>
        <w:rPr>
          <w:rFonts w:hint="eastAsia" w:ascii="仿宋" w:eastAsia="仿宋" w:cs="Times New Roman"/>
          <w:sz w:val="30"/>
          <w:szCs w:val="30"/>
          <w:highlight w:val="none"/>
          <w:lang w:val="en-US" w:eastAsia="zh-CN"/>
        </w:rPr>
        <w:t>100%；</w:t>
      </w:r>
      <w:r>
        <w:rPr>
          <w:rFonts w:hint="eastAsia" w:ascii="仿宋" w:eastAsia="仿宋" w:cs="Times New Roman"/>
          <w:sz w:val="30"/>
          <w:szCs w:val="30"/>
          <w:highlight w:val="none"/>
        </w:rPr>
        <w:t>代表和委员的满意和基本满意率100%。通过评价，该指标已达到预期目标。</w:t>
      </w:r>
    </w:p>
    <w:p>
      <w:pPr>
        <w:numPr>
          <w:ilvl w:val="0"/>
          <w:numId w:val="2"/>
        </w:num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效益指标完成情况分析</w:t>
      </w:r>
    </w:p>
    <w:p>
      <w:pPr>
        <w:numPr>
          <w:ilvl w:val="0"/>
          <w:numId w:val="0"/>
        </w:numPr>
        <w:spacing w:line="360" w:lineRule="auto"/>
        <w:ind w:left="630" w:leftChars="0"/>
        <w:rPr>
          <w:rFonts w:ascii="仿宋" w:eastAsia="仿宋" w:cs="Times New Roman"/>
          <w:sz w:val="30"/>
          <w:szCs w:val="30"/>
          <w:highlight w:val="none"/>
        </w:rPr>
      </w:pPr>
      <w:r>
        <w:rPr>
          <w:rFonts w:hint="eastAsia" w:ascii="仿宋" w:eastAsia="仿宋" w:cs="Times New Roman"/>
          <w:sz w:val="30"/>
          <w:szCs w:val="30"/>
          <w:highlight w:val="none"/>
          <w:lang w:val="en-US" w:eastAsia="zh-CN"/>
        </w:rPr>
        <w:t>1）</w:t>
      </w:r>
      <w:r>
        <w:rPr>
          <w:rFonts w:hint="eastAsia" w:ascii="仿宋" w:eastAsia="仿宋" w:cs="Times New Roman"/>
          <w:sz w:val="30"/>
          <w:szCs w:val="30"/>
          <w:highlight w:val="none"/>
        </w:rPr>
        <w:t>可持续发展影响指标完成情况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可持续发展影响指标</w:t>
      </w:r>
      <w:r>
        <w:rPr>
          <w:rFonts w:ascii="仿宋" w:eastAsia="仿宋" w:cs="Times New Roman"/>
          <w:sz w:val="30"/>
          <w:szCs w:val="30"/>
          <w:highlight w:val="none"/>
        </w:rPr>
        <w:t>设置了</w:t>
      </w:r>
      <w:r>
        <w:rPr>
          <w:rFonts w:hint="eastAsia" w:ascii="仿宋" w:eastAsia="仿宋" w:cs="Times New Roman"/>
          <w:sz w:val="30"/>
          <w:szCs w:val="30"/>
          <w:highlight w:val="none"/>
          <w:lang w:val="en-US" w:eastAsia="zh-CN"/>
        </w:rPr>
        <w:t>2</w:t>
      </w:r>
      <w:r>
        <w:rPr>
          <w:rFonts w:ascii="仿宋" w:eastAsia="仿宋" w:cs="Times New Roman"/>
          <w:sz w:val="30"/>
          <w:szCs w:val="30"/>
          <w:highlight w:val="none"/>
        </w:rPr>
        <w:t>个三级指标。</w:t>
      </w:r>
      <w:r>
        <w:rPr>
          <w:rFonts w:hint="eastAsia" w:ascii="仿宋" w:eastAsia="仿宋" w:cs="Times New Roman"/>
          <w:sz w:val="30"/>
          <w:szCs w:val="30"/>
          <w:highlight w:val="none"/>
        </w:rPr>
        <w:t>增强政府公信力</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项目经费有保障。通过评价，该指标已达到预期目标</w:t>
      </w:r>
      <w:r>
        <w:rPr>
          <w:rFonts w:ascii="仿宋" w:eastAsia="仿宋" w:cs="Times New Roman"/>
          <w:sz w:val="30"/>
          <w:szCs w:val="30"/>
          <w:highlight w:val="none"/>
        </w:rPr>
        <w:t>。</w:t>
      </w:r>
    </w:p>
    <w:p>
      <w:pPr>
        <w:ind w:firstLine="602" w:firstLineChars="200"/>
        <w:rPr>
          <w:rFonts w:hint="eastAsia" w:ascii="仿宋" w:eastAsia="仿宋" w:cs="Times New Roman"/>
          <w:sz w:val="30"/>
          <w:szCs w:val="30"/>
          <w:highlight w:val="none"/>
          <w:lang w:eastAsia="zh-CN"/>
        </w:rPr>
      </w:pPr>
      <w:r>
        <w:rPr>
          <w:rFonts w:hint="eastAsia" w:ascii="仿宋" w:eastAsia="仿宋" w:cs="Times New Roman"/>
          <w:b/>
          <w:bCs/>
          <w:sz w:val="30"/>
          <w:szCs w:val="30"/>
          <w:highlight w:val="none"/>
        </w:rPr>
        <w:t>年度目标3：</w:t>
      </w:r>
      <w:r>
        <w:rPr>
          <w:rFonts w:hint="eastAsia" w:ascii="仿宋" w:eastAsia="仿宋" w:cs="Times New Roman"/>
          <w:sz w:val="30"/>
          <w:szCs w:val="30"/>
          <w:highlight w:val="none"/>
        </w:rPr>
        <w:t>调研工作，围绕区委区政府重大决策撰写调研报告等专项数量不低于上年，调研成果转化率85%以上，综合文稿采用率95%以上</w:t>
      </w:r>
      <w:r>
        <w:rPr>
          <w:rFonts w:hint="eastAsia" w:ascii="仿宋" w:eastAsia="仿宋" w:cs="Times New Roman"/>
          <w:sz w:val="30"/>
          <w:szCs w:val="30"/>
          <w:highlight w:val="none"/>
          <w:lang w:eastAsia="zh-CN"/>
        </w:rPr>
        <w:t>。</w:t>
      </w:r>
    </w:p>
    <w:p>
      <w:pPr>
        <w:ind w:firstLine="602" w:firstLineChars="200"/>
        <w:rPr>
          <w:rFonts w:ascii="仿宋" w:eastAsia="仿宋" w:cs="Times New Roman"/>
          <w:b/>
          <w:sz w:val="30"/>
          <w:szCs w:val="30"/>
          <w:highlight w:val="none"/>
        </w:rPr>
      </w:pPr>
      <w:r>
        <w:rPr>
          <w:rFonts w:hint="eastAsia" w:ascii="仿宋" w:eastAsia="仿宋" w:cs="Times New Roman"/>
          <w:b/>
          <w:sz w:val="30"/>
          <w:szCs w:val="30"/>
          <w:highlight w:val="none"/>
        </w:rPr>
        <w:t>年度绩效目标完成情况如下：</w:t>
      </w:r>
      <w:r>
        <w:rPr>
          <w:rFonts w:hint="eastAsia" w:ascii="仿宋" w:eastAsia="仿宋" w:cs="Times New Roman"/>
          <w:b/>
          <w:sz w:val="30"/>
          <w:szCs w:val="30"/>
          <w:highlight w:val="none"/>
        </w:rPr>
        <w:tab/>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（1）产出指标完成情况分析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1）数量指标完成情况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数量指标设置了</w:t>
      </w:r>
      <w:r>
        <w:rPr>
          <w:rFonts w:hint="eastAsia" w:ascii="仿宋" w:eastAsia="仿宋" w:cs="Times New Roman"/>
          <w:sz w:val="30"/>
          <w:szCs w:val="30"/>
          <w:highlight w:val="none"/>
          <w:lang w:val="en-US" w:eastAsia="zh-CN"/>
        </w:rPr>
        <w:t>1</w:t>
      </w:r>
      <w:r>
        <w:rPr>
          <w:rFonts w:hint="eastAsia" w:ascii="仿宋" w:eastAsia="仿宋" w:cs="Times New Roman"/>
          <w:sz w:val="30"/>
          <w:szCs w:val="30"/>
          <w:highlight w:val="none"/>
        </w:rPr>
        <w:t>个三级指标。对重点工作形成调研报告。通过评价，该指标已达到预期目标。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2）质量指标完成情况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质量指标设置了</w:t>
      </w:r>
      <w:r>
        <w:rPr>
          <w:rFonts w:hint="eastAsia" w:ascii="仿宋" w:eastAsia="仿宋" w:cs="Times New Roman"/>
          <w:sz w:val="30"/>
          <w:szCs w:val="30"/>
          <w:highlight w:val="none"/>
          <w:lang w:val="en-US" w:eastAsia="zh-CN"/>
        </w:rPr>
        <w:t>1</w:t>
      </w:r>
      <w:r>
        <w:rPr>
          <w:rFonts w:hint="eastAsia" w:ascii="仿宋" w:eastAsia="仿宋" w:cs="Times New Roman"/>
          <w:sz w:val="30"/>
          <w:szCs w:val="30"/>
          <w:highlight w:val="none"/>
        </w:rPr>
        <w:t>个三级指标。起草各类综合文稿，供区领导决策参考采用率100%，通过评价，该指标已达到预期目标。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（2）效益指标完成情况分析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lang w:val="en-US" w:eastAsia="zh-CN"/>
        </w:rPr>
        <w:t>1</w:t>
      </w:r>
      <w:r>
        <w:rPr>
          <w:rFonts w:hint="eastAsia" w:ascii="仿宋" w:eastAsia="仿宋" w:cs="Times New Roman"/>
          <w:sz w:val="30"/>
          <w:szCs w:val="30"/>
          <w:highlight w:val="none"/>
        </w:rPr>
        <w:t>）可持续发展影响指标完成情况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可持续发展影响指标</w:t>
      </w:r>
      <w:r>
        <w:rPr>
          <w:rFonts w:ascii="仿宋" w:eastAsia="仿宋" w:cs="Times New Roman"/>
          <w:sz w:val="30"/>
          <w:szCs w:val="30"/>
          <w:highlight w:val="none"/>
        </w:rPr>
        <w:t>设置了</w:t>
      </w:r>
      <w:r>
        <w:rPr>
          <w:rFonts w:hint="eastAsia" w:ascii="仿宋" w:eastAsia="仿宋" w:cs="Times New Roman"/>
          <w:sz w:val="30"/>
          <w:szCs w:val="30"/>
          <w:highlight w:val="none"/>
          <w:lang w:val="en-US" w:eastAsia="zh-CN"/>
        </w:rPr>
        <w:t>2</w:t>
      </w:r>
      <w:r>
        <w:rPr>
          <w:rFonts w:ascii="仿宋" w:eastAsia="仿宋" w:cs="Times New Roman"/>
          <w:sz w:val="30"/>
          <w:szCs w:val="30"/>
          <w:highlight w:val="none"/>
        </w:rPr>
        <w:t>个三级指标。</w:t>
      </w:r>
      <w:r>
        <w:rPr>
          <w:rFonts w:hint="eastAsia" w:ascii="仿宋" w:eastAsia="仿宋" w:cs="Times New Roman"/>
          <w:sz w:val="30"/>
          <w:szCs w:val="30"/>
          <w:highlight w:val="none"/>
        </w:rPr>
        <w:t>增强政府公信力</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项目经费有保障。通过评价，该指标已达到预期目标</w:t>
      </w:r>
      <w:r>
        <w:rPr>
          <w:rFonts w:ascii="仿宋" w:eastAsia="仿宋" w:cs="Times New Roman"/>
          <w:sz w:val="30"/>
          <w:szCs w:val="30"/>
          <w:highlight w:val="none"/>
        </w:rPr>
        <w:t>。</w:t>
      </w:r>
    </w:p>
    <w:p>
      <w:pPr>
        <w:ind w:firstLine="602" w:firstLineChars="200"/>
        <w:rPr>
          <w:rFonts w:ascii="仿宋" w:eastAsia="仿宋" w:cs="Times New Roman"/>
          <w:sz w:val="30"/>
          <w:szCs w:val="30"/>
          <w:highlight w:val="none"/>
        </w:rPr>
      </w:pPr>
      <w:r>
        <w:rPr>
          <w:rFonts w:hint="eastAsia" w:ascii="仿宋" w:eastAsia="仿宋" w:cs="Times New Roman"/>
          <w:b/>
          <w:bCs/>
          <w:sz w:val="30"/>
          <w:szCs w:val="30"/>
          <w:highlight w:val="none"/>
        </w:rPr>
        <w:t>年度目标4：</w:t>
      </w:r>
      <w:r>
        <w:rPr>
          <w:rFonts w:hint="eastAsia" w:ascii="仿宋" w:eastAsia="仿宋" w:cs="Times New Roman"/>
          <w:sz w:val="30"/>
          <w:szCs w:val="30"/>
          <w:highlight w:val="none"/>
        </w:rPr>
        <w:t>以文辅政，围绕区委区政府中心工作，向区政府领导提供深度信息资料8篇以上；重大信息被省市采用5条以上。</w:t>
      </w:r>
    </w:p>
    <w:p>
      <w:pPr>
        <w:ind w:firstLine="602" w:firstLineChars="200"/>
        <w:rPr>
          <w:rFonts w:ascii="仿宋" w:eastAsia="仿宋" w:cs="Times New Roman"/>
          <w:b/>
          <w:sz w:val="30"/>
          <w:szCs w:val="30"/>
          <w:highlight w:val="none"/>
        </w:rPr>
      </w:pPr>
      <w:r>
        <w:rPr>
          <w:rFonts w:hint="eastAsia" w:ascii="仿宋" w:eastAsia="仿宋" w:cs="Times New Roman"/>
          <w:b/>
          <w:sz w:val="30"/>
          <w:szCs w:val="30"/>
          <w:highlight w:val="none"/>
        </w:rPr>
        <w:t>年度绩效目标完成情况如下：</w:t>
      </w:r>
      <w:r>
        <w:rPr>
          <w:rFonts w:hint="eastAsia" w:ascii="仿宋" w:eastAsia="仿宋" w:cs="Times New Roman"/>
          <w:b/>
          <w:sz w:val="30"/>
          <w:szCs w:val="30"/>
          <w:highlight w:val="none"/>
        </w:rPr>
        <w:tab/>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（1）产出指标完成情况分析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1）数量指标完成情况</w:t>
      </w:r>
    </w:p>
    <w:p>
      <w:pPr>
        <w:spacing w:line="360" w:lineRule="auto"/>
        <w:ind w:firstLine="600" w:firstLineChars="200"/>
        <w:rPr>
          <w:rFonts w:ascii="仿宋" w:eastAsia="仿宋" w:cs="Times New Roman"/>
          <w:sz w:val="30"/>
          <w:szCs w:val="30"/>
          <w:highlight w:val="yellow"/>
        </w:rPr>
      </w:pPr>
      <w:r>
        <w:rPr>
          <w:rFonts w:hint="eastAsia" w:ascii="仿宋" w:eastAsia="仿宋" w:cs="Times New Roman"/>
          <w:sz w:val="30"/>
          <w:szCs w:val="30"/>
          <w:highlight w:val="none"/>
        </w:rPr>
        <w:t>数量指标设置了</w:t>
      </w:r>
      <w:r>
        <w:rPr>
          <w:rFonts w:hint="eastAsia" w:ascii="仿宋" w:eastAsia="仿宋" w:cs="Times New Roman"/>
          <w:sz w:val="30"/>
          <w:szCs w:val="30"/>
          <w:highlight w:val="none"/>
          <w:lang w:val="en-US" w:eastAsia="zh-CN"/>
        </w:rPr>
        <w:t>2</w:t>
      </w:r>
      <w:r>
        <w:rPr>
          <w:rFonts w:hint="eastAsia" w:ascii="仿宋" w:eastAsia="仿宋" w:cs="Times New Roman"/>
          <w:sz w:val="30"/>
          <w:szCs w:val="30"/>
          <w:highlight w:val="none"/>
        </w:rPr>
        <w:t>个三级指标。重大信息被信息刊物采用</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向区政府领导提供深度信息资料。通过评价，该指标已达到预期目标。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2）质量指标完成情况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质量指标设置了2个三级指标。实际完成率100%；完成及时率100%</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通过评价，该指标已达到预期目标。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（2）效益指标完成情况分析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lang w:val="en-US" w:eastAsia="zh-CN"/>
        </w:rPr>
        <w:t>1</w:t>
      </w:r>
      <w:r>
        <w:rPr>
          <w:rFonts w:hint="eastAsia" w:ascii="仿宋" w:eastAsia="仿宋" w:cs="Times New Roman"/>
          <w:sz w:val="30"/>
          <w:szCs w:val="30"/>
          <w:highlight w:val="none"/>
        </w:rPr>
        <w:t>）可持续发展影响指标完成情况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可持续发展影响指标</w:t>
      </w:r>
      <w:r>
        <w:rPr>
          <w:rFonts w:ascii="仿宋" w:eastAsia="仿宋" w:cs="Times New Roman"/>
          <w:sz w:val="30"/>
          <w:szCs w:val="30"/>
          <w:highlight w:val="none"/>
        </w:rPr>
        <w:t>设置了</w:t>
      </w:r>
      <w:r>
        <w:rPr>
          <w:rFonts w:hint="eastAsia" w:ascii="仿宋" w:eastAsia="仿宋" w:cs="Times New Roman"/>
          <w:sz w:val="30"/>
          <w:szCs w:val="30"/>
          <w:highlight w:val="none"/>
          <w:lang w:val="en-US" w:eastAsia="zh-CN"/>
        </w:rPr>
        <w:t>2</w:t>
      </w:r>
      <w:r>
        <w:rPr>
          <w:rFonts w:ascii="仿宋" w:eastAsia="仿宋" w:cs="Times New Roman"/>
          <w:sz w:val="30"/>
          <w:szCs w:val="30"/>
          <w:highlight w:val="none"/>
        </w:rPr>
        <w:t>个三级指标。</w:t>
      </w:r>
      <w:r>
        <w:rPr>
          <w:rFonts w:hint="eastAsia" w:ascii="仿宋" w:eastAsia="仿宋" w:cs="Times New Roman"/>
          <w:sz w:val="30"/>
          <w:szCs w:val="30"/>
          <w:highlight w:val="none"/>
        </w:rPr>
        <w:t>增强政府公信力</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项目经费有保障。通过评价，该指标已达到预期目标</w:t>
      </w:r>
      <w:r>
        <w:rPr>
          <w:rFonts w:ascii="仿宋" w:eastAsia="仿宋" w:cs="Times New Roman"/>
          <w:sz w:val="30"/>
          <w:szCs w:val="30"/>
          <w:highlight w:val="none"/>
        </w:rPr>
        <w:t>。</w:t>
      </w:r>
    </w:p>
    <w:p>
      <w:pPr>
        <w:ind w:firstLine="602" w:firstLineChars="200"/>
        <w:rPr>
          <w:rFonts w:ascii="仿宋" w:eastAsia="仿宋" w:cs="Times New Roman"/>
          <w:sz w:val="30"/>
          <w:szCs w:val="30"/>
          <w:highlight w:val="none"/>
        </w:rPr>
      </w:pPr>
      <w:r>
        <w:rPr>
          <w:rFonts w:hint="eastAsia" w:ascii="仿宋" w:eastAsia="仿宋" w:cs="Times New Roman"/>
          <w:b/>
          <w:bCs/>
          <w:sz w:val="30"/>
          <w:szCs w:val="30"/>
          <w:highlight w:val="none"/>
        </w:rPr>
        <w:t>年度目标5：</w:t>
      </w:r>
      <w:r>
        <w:rPr>
          <w:rFonts w:hint="eastAsia" w:ascii="仿宋" w:eastAsia="仿宋" w:cs="Times New Roman"/>
          <w:sz w:val="30"/>
          <w:szCs w:val="30"/>
          <w:highlight w:val="none"/>
        </w:rPr>
        <w:t>精文减会，进一步落实发文审签和会议审批制度，全年以区政府或区政办名义制发的文件数和全区性会议数均不高于上年。</w:t>
      </w:r>
    </w:p>
    <w:p>
      <w:pPr>
        <w:ind w:firstLine="602" w:firstLineChars="200"/>
        <w:rPr>
          <w:rFonts w:ascii="仿宋" w:eastAsia="仿宋" w:cs="Times New Roman"/>
          <w:b/>
          <w:sz w:val="30"/>
          <w:szCs w:val="30"/>
          <w:highlight w:val="none"/>
        </w:rPr>
      </w:pPr>
      <w:r>
        <w:rPr>
          <w:rFonts w:hint="eastAsia" w:ascii="仿宋" w:eastAsia="仿宋" w:cs="Times New Roman"/>
          <w:b/>
          <w:sz w:val="30"/>
          <w:szCs w:val="30"/>
          <w:highlight w:val="none"/>
        </w:rPr>
        <w:t>年度绩效目标完成情况如下：</w:t>
      </w:r>
      <w:r>
        <w:rPr>
          <w:rFonts w:hint="eastAsia" w:ascii="仿宋" w:eastAsia="仿宋" w:cs="Times New Roman"/>
          <w:b/>
          <w:sz w:val="30"/>
          <w:szCs w:val="30"/>
          <w:highlight w:val="none"/>
        </w:rPr>
        <w:tab/>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（1）产出指标完成情况分析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1）数量指标完成情况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数量指标设置了2个三级指标。制发普发性文件</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全区性会议数。通过评价，该指标已达到预期目标。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2）质量指标完成情况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质量指标设置了2个三级指标。实际完成率100%；完成及时率100%</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通过评价，该指标已达到预期目标。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（2）效益指标完成情况分析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lang w:val="en-US" w:eastAsia="zh-CN"/>
        </w:rPr>
        <w:t>1</w:t>
      </w:r>
      <w:r>
        <w:rPr>
          <w:rFonts w:hint="eastAsia" w:ascii="仿宋" w:eastAsia="仿宋" w:cs="Times New Roman"/>
          <w:sz w:val="30"/>
          <w:szCs w:val="30"/>
          <w:highlight w:val="none"/>
        </w:rPr>
        <w:t>）可持续发展影响指标完成情况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可持续发展影响指标</w:t>
      </w:r>
      <w:r>
        <w:rPr>
          <w:rFonts w:ascii="仿宋" w:eastAsia="仿宋" w:cs="Times New Roman"/>
          <w:sz w:val="30"/>
          <w:szCs w:val="30"/>
          <w:highlight w:val="none"/>
        </w:rPr>
        <w:t>设置了</w:t>
      </w:r>
      <w:r>
        <w:rPr>
          <w:rFonts w:hint="eastAsia" w:ascii="仿宋" w:eastAsia="仿宋" w:cs="Times New Roman"/>
          <w:sz w:val="30"/>
          <w:szCs w:val="30"/>
          <w:highlight w:val="none"/>
          <w:lang w:val="en-US" w:eastAsia="zh-CN"/>
        </w:rPr>
        <w:t>2</w:t>
      </w:r>
      <w:r>
        <w:rPr>
          <w:rFonts w:ascii="仿宋" w:eastAsia="仿宋" w:cs="Times New Roman"/>
          <w:sz w:val="30"/>
          <w:szCs w:val="30"/>
          <w:highlight w:val="none"/>
        </w:rPr>
        <w:t>个三级指标。</w:t>
      </w:r>
      <w:r>
        <w:rPr>
          <w:rFonts w:hint="eastAsia" w:ascii="仿宋" w:eastAsia="仿宋" w:cs="Times New Roman"/>
          <w:sz w:val="30"/>
          <w:szCs w:val="30"/>
          <w:highlight w:val="none"/>
        </w:rPr>
        <w:t>增强政府公信力</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项目经费有保障。通过评价，该指标已达到预期目标</w:t>
      </w:r>
      <w:r>
        <w:rPr>
          <w:rFonts w:ascii="仿宋" w:eastAsia="仿宋" w:cs="Times New Roman"/>
          <w:sz w:val="30"/>
          <w:szCs w:val="30"/>
          <w:highlight w:val="none"/>
        </w:rPr>
        <w:t>。</w:t>
      </w:r>
    </w:p>
    <w:p>
      <w:pPr>
        <w:ind w:firstLine="602" w:firstLineChars="200"/>
        <w:rPr>
          <w:rFonts w:ascii="仿宋" w:eastAsia="仿宋" w:cs="Times New Roman"/>
          <w:sz w:val="30"/>
          <w:szCs w:val="30"/>
          <w:highlight w:val="none"/>
        </w:rPr>
      </w:pPr>
      <w:r>
        <w:rPr>
          <w:rFonts w:hint="eastAsia" w:ascii="仿宋" w:eastAsia="仿宋" w:cs="Times New Roman"/>
          <w:b/>
          <w:bCs/>
          <w:sz w:val="30"/>
          <w:szCs w:val="30"/>
          <w:highlight w:val="none"/>
        </w:rPr>
        <w:t>年度目标6：</w:t>
      </w:r>
      <w:r>
        <w:rPr>
          <w:rFonts w:hint="eastAsia" w:ascii="仿宋" w:eastAsia="仿宋" w:cs="Times New Roman"/>
          <w:sz w:val="30"/>
          <w:szCs w:val="30"/>
          <w:highlight w:val="none"/>
        </w:rPr>
        <w:t>脱贫攻坚，减贫与巩固成效、精准识别与动态监测、精准施策落实情况、基本生产生活条件改善、财政扶贫资金管理使用、扶贫开发主体责任落实等。</w:t>
      </w:r>
    </w:p>
    <w:p>
      <w:pPr>
        <w:ind w:firstLine="602" w:firstLineChars="200"/>
        <w:rPr>
          <w:rFonts w:ascii="仿宋" w:eastAsia="仿宋" w:cs="Times New Roman"/>
          <w:b/>
          <w:sz w:val="30"/>
          <w:szCs w:val="30"/>
          <w:highlight w:val="none"/>
        </w:rPr>
      </w:pPr>
      <w:r>
        <w:rPr>
          <w:rFonts w:hint="eastAsia" w:ascii="仿宋" w:eastAsia="仿宋" w:cs="Times New Roman"/>
          <w:b/>
          <w:sz w:val="30"/>
          <w:szCs w:val="30"/>
          <w:highlight w:val="none"/>
        </w:rPr>
        <w:t>年度绩效目标完成情况如下：</w:t>
      </w:r>
      <w:r>
        <w:rPr>
          <w:rFonts w:hint="eastAsia" w:ascii="仿宋" w:eastAsia="仿宋" w:cs="Times New Roman"/>
          <w:b/>
          <w:sz w:val="30"/>
          <w:szCs w:val="30"/>
          <w:highlight w:val="none"/>
        </w:rPr>
        <w:tab/>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（1）产出指标完成情况分析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1）数量指标完成情况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数量指标设置了</w:t>
      </w:r>
      <w:r>
        <w:rPr>
          <w:rFonts w:hint="eastAsia" w:ascii="仿宋" w:eastAsia="仿宋" w:cs="Times New Roman"/>
          <w:sz w:val="30"/>
          <w:szCs w:val="30"/>
          <w:highlight w:val="none"/>
          <w:lang w:val="en-US" w:eastAsia="zh-CN"/>
        </w:rPr>
        <w:t>3</w:t>
      </w:r>
      <w:r>
        <w:rPr>
          <w:rFonts w:hint="eastAsia" w:ascii="仿宋" w:eastAsia="仿宋" w:cs="Times New Roman"/>
          <w:sz w:val="30"/>
          <w:szCs w:val="30"/>
          <w:highlight w:val="none"/>
        </w:rPr>
        <w:t>个三级指标。组织实施“防贫保”和精准扶贫综合治安保险</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扶贫村、扶贫项目达到文件要求</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扶贫对象数量达到文件要求。通过评价，该指标已达到预期目标。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2）质量指标完成情况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质量指标设置了</w:t>
      </w:r>
      <w:r>
        <w:rPr>
          <w:rFonts w:hint="eastAsia" w:ascii="仿宋" w:eastAsia="仿宋" w:cs="Times New Roman"/>
          <w:sz w:val="30"/>
          <w:szCs w:val="30"/>
          <w:highlight w:val="none"/>
          <w:lang w:val="en-US" w:eastAsia="zh-CN"/>
        </w:rPr>
        <w:t>1</w:t>
      </w:r>
      <w:r>
        <w:rPr>
          <w:rFonts w:hint="eastAsia" w:ascii="仿宋" w:eastAsia="仿宋" w:cs="Times New Roman"/>
          <w:sz w:val="30"/>
          <w:szCs w:val="30"/>
          <w:highlight w:val="none"/>
        </w:rPr>
        <w:t>个三级指标。协助帮扶已脱贫对象不返贫</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通过评价，该指标已达到预期目标。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（2）效益指标完成情况分析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w:t>
      </w:r>
      <w:r>
        <w:rPr>
          <w:rFonts w:hint="eastAsia" w:ascii="仿宋" w:eastAsia="仿宋" w:cs="Times New Roman"/>
          <w:sz w:val="30"/>
          <w:szCs w:val="30"/>
          <w:highlight w:val="none"/>
          <w:lang w:eastAsia="zh-CN"/>
        </w:rPr>
        <w:t>经济</w:t>
      </w:r>
      <w:r>
        <w:rPr>
          <w:rFonts w:hint="eastAsia" w:ascii="仿宋" w:eastAsia="仿宋" w:cs="Times New Roman"/>
          <w:sz w:val="30"/>
          <w:szCs w:val="30"/>
          <w:highlight w:val="none"/>
        </w:rPr>
        <w:t>效益指标完成情况</w:t>
      </w:r>
    </w:p>
    <w:p>
      <w:pPr>
        <w:spacing w:line="360" w:lineRule="auto"/>
        <w:ind w:firstLine="600" w:firstLineChars="200"/>
        <w:rPr>
          <w:rFonts w:hint="eastAsia" w:ascii="仿宋" w:eastAsia="仿宋" w:cs="Times New Roman"/>
          <w:sz w:val="30"/>
          <w:szCs w:val="30"/>
          <w:highlight w:val="yellow"/>
        </w:rPr>
      </w:pPr>
      <w:r>
        <w:rPr>
          <w:rFonts w:hint="eastAsia" w:ascii="仿宋" w:eastAsia="仿宋" w:cs="Times New Roman"/>
          <w:sz w:val="30"/>
          <w:szCs w:val="30"/>
          <w:highlight w:val="none"/>
          <w:lang w:eastAsia="zh-CN"/>
        </w:rPr>
        <w:t>经济</w:t>
      </w:r>
      <w:r>
        <w:rPr>
          <w:rFonts w:hint="eastAsia" w:ascii="仿宋" w:eastAsia="仿宋" w:cs="Times New Roman"/>
          <w:sz w:val="30"/>
          <w:szCs w:val="30"/>
          <w:highlight w:val="none"/>
        </w:rPr>
        <w:t>效益指标设置了</w:t>
      </w:r>
      <w:r>
        <w:rPr>
          <w:rFonts w:hint="eastAsia" w:ascii="仿宋" w:eastAsia="仿宋" w:cs="Times New Roman"/>
          <w:sz w:val="30"/>
          <w:szCs w:val="30"/>
          <w:highlight w:val="none"/>
          <w:lang w:val="en-US" w:eastAsia="zh-CN"/>
        </w:rPr>
        <w:t>2</w:t>
      </w:r>
      <w:r>
        <w:rPr>
          <w:rFonts w:hint="eastAsia" w:ascii="仿宋" w:eastAsia="仿宋" w:cs="Times New Roman"/>
          <w:sz w:val="30"/>
          <w:szCs w:val="30"/>
          <w:highlight w:val="none"/>
        </w:rPr>
        <w:t>个三级指标。精准扶贫项目效益</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促进全区经济发展。通过评价，该指标已达到预期目标。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lang w:val="en-US" w:eastAsia="zh-CN"/>
        </w:rPr>
        <w:t>2</w:t>
      </w:r>
      <w:r>
        <w:rPr>
          <w:rFonts w:hint="eastAsia" w:ascii="仿宋" w:eastAsia="仿宋" w:cs="Times New Roman"/>
          <w:sz w:val="30"/>
          <w:szCs w:val="30"/>
          <w:highlight w:val="none"/>
        </w:rPr>
        <w:t>）社会效益指标完成情况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社会效益指标设置了</w:t>
      </w:r>
      <w:r>
        <w:rPr>
          <w:rFonts w:hint="eastAsia" w:ascii="仿宋" w:eastAsia="仿宋" w:cs="Times New Roman"/>
          <w:sz w:val="30"/>
          <w:szCs w:val="30"/>
          <w:highlight w:val="none"/>
          <w:lang w:val="en-US" w:eastAsia="zh-CN"/>
        </w:rPr>
        <w:t>2</w:t>
      </w:r>
      <w:r>
        <w:rPr>
          <w:rFonts w:hint="eastAsia" w:ascii="仿宋" w:eastAsia="仿宋" w:cs="Times New Roman"/>
          <w:sz w:val="30"/>
          <w:szCs w:val="30"/>
          <w:highlight w:val="none"/>
        </w:rPr>
        <w:t>个三级指标。推进区经济社会加快发展</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全面建成小康社会。通过评价，该指标已达到预期目标。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lang w:val="en-US" w:eastAsia="zh-CN"/>
        </w:rPr>
        <w:t>3</w:t>
      </w:r>
      <w:r>
        <w:rPr>
          <w:rFonts w:hint="eastAsia" w:ascii="仿宋" w:eastAsia="仿宋" w:cs="Times New Roman"/>
          <w:sz w:val="30"/>
          <w:szCs w:val="30"/>
          <w:highlight w:val="none"/>
        </w:rPr>
        <w:t>）可持续发展影响指标完成情况</w:t>
      </w:r>
    </w:p>
    <w:p>
      <w:pPr>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可持续发展影响指标</w:t>
      </w:r>
      <w:r>
        <w:rPr>
          <w:rFonts w:ascii="仿宋" w:eastAsia="仿宋" w:cs="Times New Roman"/>
          <w:sz w:val="30"/>
          <w:szCs w:val="30"/>
          <w:highlight w:val="none"/>
        </w:rPr>
        <w:t>设置了</w:t>
      </w:r>
      <w:r>
        <w:rPr>
          <w:rFonts w:hint="eastAsia" w:ascii="仿宋" w:eastAsia="仿宋" w:cs="Times New Roman"/>
          <w:sz w:val="30"/>
          <w:szCs w:val="30"/>
          <w:highlight w:val="none"/>
          <w:lang w:val="en-US" w:eastAsia="zh-CN"/>
        </w:rPr>
        <w:t>2</w:t>
      </w:r>
      <w:r>
        <w:rPr>
          <w:rFonts w:ascii="仿宋" w:eastAsia="仿宋" w:cs="Times New Roman"/>
          <w:sz w:val="30"/>
          <w:szCs w:val="30"/>
          <w:highlight w:val="none"/>
        </w:rPr>
        <w:t>个三级指标。</w:t>
      </w:r>
      <w:r>
        <w:rPr>
          <w:rFonts w:hint="eastAsia" w:ascii="仿宋" w:eastAsia="仿宋" w:cs="Times New Roman"/>
          <w:sz w:val="30"/>
          <w:szCs w:val="30"/>
          <w:highlight w:val="none"/>
        </w:rPr>
        <w:t>扶贫对象生活水平改善度</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项目经费有保障。通过评价，该指标已达到预期目标</w:t>
      </w:r>
      <w:r>
        <w:rPr>
          <w:rFonts w:ascii="仿宋" w:eastAsia="仿宋" w:cs="Times New Roman"/>
          <w:sz w:val="30"/>
          <w:szCs w:val="30"/>
          <w:highlight w:val="none"/>
        </w:rPr>
        <w:t>。</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w:t>
      </w:r>
      <w:r>
        <w:rPr>
          <w:rFonts w:hint="eastAsia" w:ascii="仿宋" w:eastAsia="仿宋" w:cs="Times New Roman"/>
          <w:sz w:val="30"/>
          <w:szCs w:val="30"/>
          <w:highlight w:val="none"/>
          <w:lang w:val="en-US" w:eastAsia="zh-CN"/>
        </w:rPr>
        <w:t>3</w:t>
      </w:r>
      <w:r>
        <w:rPr>
          <w:rFonts w:hint="eastAsia" w:ascii="仿宋" w:eastAsia="仿宋" w:cs="Times New Roman"/>
          <w:sz w:val="30"/>
          <w:szCs w:val="30"/>
          <w:highlight w:val="none"/>
        </w:rPr>
        <w:t>）</w:t>
      </w:r>
      <w:r>
        <w:rPr>
          <w:rFonts w:hint="eastAsia" w:ascii="仿宋" w:eastAsia="仿宋" w:cs="Times New Roman"/>
          <w:sz w:val="30"/>
          <w:szCs w:val="30"/>
          <w:highlight w:val="none"/>
          <w:lang w:eastAsia="zh-CN"/>
        </w:rPr>
        <w:t>满意度</w:t>
      </w:r>
      <w:r>
        <w:rPr>
          <w:rFonts w:hint="eastAsia" w:ascii="仿宋" w:eastAsia="仿宋" w:cs="Times New Roman"/>
          <w:sz w:val="30"/>
          <w:szCs w:val="30"/>
          <w:highlight w:val="none"/>
        </w:rPr>
        <w:t>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1）服务对象满意度指标完成情况</w:t>
      </w:r>
    </w:p>
    <w:p>
      <w:pPr>
        <w:spacing w:line="360" w:lineRule="auto"/>
        <w:ind w:firstLine="600" w:firstLineChars="200"/>
        <w:rPr>
          <w:rFonts w:hint="eastAsia" w:ascii="仿宋" w:eastAsia="仿宋" w:cs="Times New Roman"/>
          <w:sz w:val="30"/>
          <w:szCs w:val="30"/>
          <w:highlight w:val="yellow"/>
        </w:rPr>
      </w:pPr>
      <w:r>
        <w:rPr>
          <w:rFonts w:hint="eastAsia" w:ascii="仿宋" w:eastAsia="仿宋" w:cs="Times New Roman"/>
          <w:sz w:val="30"/>
          <w:szCs w:val="30"/>
          <w:highlight w:val="none"/>
        </w:rPr>
        <w:t>服务对象满意度指标设置了</w:t>
      </w:r>
      <w:r>
        <w:rPr>
          <w:rFonts w:hint="eastAsia" w:ascii="仿宋" w:eastAsia="仿宋" w:cs="Times New Roman"/>
          <w:sz w:val="30"/>
          <w:szCs w:val="30"/>
          <w:highlight w:val="none"/>
          <w:lang w:val="en-US" w:eastAsia="zh-CN"/>
        </w:rPr>
        <w:t>2</w:t>
      </w:r>
      <w:r>
        <w:rPr>
          <w:rFonts w:hint="eastAsia" w:ascii="仿宋" w:eastAsia="仿宋" w:cs="Times New Roman"/>
          <w:sz w:val="30"/>
          <w:szCs w:val="30"/>
          <w:highlight w:val="none"/>
        </w:rPr>
        <w:t>个三级指标。受益群众满意度</w:t>
      </w:r>
      <w:r>
        <w:rPr>
          <w:rFonts w:hint="eastAsia" w:ascii="仿宋" w:eastAsia="仿宋" w:cs="Times New Roman"/>
          <w:sz w:val="30"/>
          <w:szCs w:val="30"/>
          <w:highlight w:val="none"/>
          <w:lang w:val="en-US" w:eastAsia="zh-CN"/>
        </w:rPr>
        <w:t>&gt;90%;</w:t>
      </w:r>
      <w:r>
        <w:rPr>
          <w:rFonts w:hint="eastAsia" w:ascii="仿宋" w:eastAsia="仿宋" w:cs="Times New Roman"/>
          <w:sz w:val="30"/>
          <w:szCs w:val="30"/>
          <w:highlight w:val="none"/>
        </w:rPr>
        <w:t>受益企业满意度</w:t>
      </w:r>
      <w:r>
        <w:rPr>
          <w:rFonts w:hint="eastAsia" w:ascii="仿宋" w:eastAsia="仿宋" w:cs="Times New Roman"/>
          <w:sz w:val="30"/>
          <w:szCs w:val="30"/>
          <w:highlight w:val="none"/>
          <w:lang w:val="en-US" w:eastAsia="zh-CN"/>
        </w:rPr>
        <w:t>&gt;90%</w:t>
      </w:r>
      <w:r>
        <w:rPr>
          <w:rFonts w:hint="eastAsia" w:ascii="仿宋" w:eastAsia="仿宋" w:cs="Times New Roman"/>
          <w:sz w:val="30"/>
          <w:szCs w:val="30"/>
          <w:highlight w:val="none"/>
        </w:rPr>
        <w:t>。通过评价，该指标已达到预期目标。</w:t>
      </w:r>
    </w:p>
    <w:p>
      <w:pPr>
        <w:ind w:firstLine="602" w:firstLineChars="200"/>
        <w:rPr>
          <w:rFonts w:ascii="仿宋" w:eastAsia="仿宋" w:cs="Times New Roman"/>
          <w:sz w:val="30"/>
          <w:szCs w:val="30"/>
          <w:highlight w:val="none"/>
        </w:rPr>
      </w:pPr>
      <w:r>
        <w:rPr>
          <w:rFonts w:hint="eastAsia" w:ascii="仿宋" w:eastAsia="仿宋" w:cs="Times New Roman"/>
          <w:b/>
          <w:bCs/>
          <w:sz w:val="30"/>
          <w:szCs w:val="30"/>
          <w:highlight w:val="none"/>
        </w:rPr>
        <w:t>年度目标7：</w:t>
      </w:r>
      <w:r>
        <w:rPr>
          <w:rFonts w:hint="eastAsia" w:ascii="仿宋" w:eastAsia="仿宋" w:cs="Times New Roman"/>
          <w:sz w:val="30"/>
          <w:szCs w:val="30"/>
          <w:highlight w:val="none"/>
        </w:rPr>
        <w:t>防范金融风险，非法集资发案数低于全市平均水平。</w:t>
      </w:r>
    </w:p>
    <w:p>
      <w:pPr>
        <w:ind w:firstLine="600" w:firstLineChars="200"/>
        <w:rPr>
          <w:rFonts w:ascii="仿宋" w:eastAsia="仿宋" w:cs="Times New Roman"/>
          <w:sz w:val="30"/>
          <w:szCs w:val="30"/>
          <w:highlight w:val="none"/>
        </w:rPr>
      </w:pPr>
      <w:r>
        <w:rPr>
          <w:rFonts w:hint="eastAsia" w:ascii="仿宋" w:eastAsia="仿宋" w:cs="Times New Roman"/>
          <w:sz w:val="30"/>
          <w:szCs w:val="30"/>
          <w:highlight w:val="none"/>
          <w:lang w:eastAsia="zh-CN"/>
        </w:rPr>
        <w:t>区政府办公室</w:t>
      </w:r>
      <w:r>
        <w:rPr>
          <w:rFonts w:hint="eastAsia" w:ascii="仿宋" w:eastAsia="仿宋" w:cs="Times New Roman"/>
          <w:sz w:val="30"/>
          <w:szCs w:val="30"/>
          <w:highlight w:val="none"/>
        </w:rPr>
        <w:t>组织相关部门，通过多种方式开展防范非法集资等金融风险宣传教育工作，全年非法集资发案数为0。已完成该项绩效目标。</w:t>
      </w:r>
    </w:p>
    <w:p>
      <w:pPr>
        <w:ind w:firstLine="602" w:firstLineChars="200"/>
        <w:rPr>
          <w:rFonts w:ascii="仿宋" w:eastAsia="仿宋" w:cs="Times New Roman"/>
          <w:sz w:val="30"/>
          <w:szCs w:val="30"/>
          <w:highlight w:val="none"/>
        </w:rPr>
      </w:pPr>
      <w:r>
        <w:rPr>
          <w:rFonts w:hint="eastAsia" w:ascii="仿宋" w:eastAsia="仿宋" w:cs="Times New Roman"/>
          <w:b/>
          <w:bCs/>
          <w:sz w:val="30"/>
          <w:szCs w:val="30"/>
          <w:highlight w:val="none"/>
        </w:rPr>
        <w:t>年度目标8：</w:t>
      </w:r>
      <w:r>
        <w:rPr>
          <w:rFonts w:hint="eastAsia" w:ascii="仿宋" w:eastAsia="仿宋" w:cs="Times New Roman"/>
          <w:sz w:val="30"/>
          <w:szCs w:val="30"/>
          <w:highlight w:val="none"/>
        </w:rPr>
        <w:t>重点工作协调督办，加强中德产业园、地铁小镇、嵩阳大道乡村振兴示范带建设和教育资源均衡发展等重点工作的协调督办，确保重点工作顺利推进。</w:t>
      </w:r>
    </w:p>
    <w:p>
      <w:pPr>
        <w:ind w:firstLine="602" w:firstLineChars="200"/>
        <w:rPr>
          <w:rFonts w:ascii="仿宋" w:eastAsia="仿宋" w:cs="Times New Roman"/>
          <w:b/>
          <w:sz w:val="30"/>
          <w:szCs w:val="30"/>
          <w:highlight w:val="none"/>
        </w:rPr>
      </w:pPr>
      <w:r>
        <w:rPr>
          <w:rFonts w:hint="eastAsia" w:ascii="仿宋" w:eastAsia="仿宋" w:cs="Times New Roman"/>
          <w:b/>
          <w:sz w:val="30"/>
          <w:szCs w:val="30"/>
          <w:highlight w:val="none"/>
        </w:rPr>
        <w:t>年度绩效目标完成情况如下：</w:t>
      </w:r>
      <w:r>
        <w:rPr>
          <w:rFonts w:hint="eastAsia" w:ascii="仿宋" w:eastAsia="仿宋" w:cs="Times New Roman"/>
          <w:b/>
          <w:sz w:val="30"/>
          <w:szCs w:val="30"/>
          <w:highlight w:val="none"/>
        </w:rPr>
        <w:tab/>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（1）产出指标完成情况分析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1）质量指标完成情况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质量指标设置了</w:t>
      </w:r>
      <w:r>
        <w:rPr>
          <w:rFonts w:hint="eastAsia" w:ascii="仿宋" w:eastAsia="仿宋" w:cs="Times New Roman"/>
          <w:sz w:val="30"/>
          <w:szCs w:val="30"/>
          <w:highlight w:val="none"/>
          <w:lang w:val="en-US" w:eastAsia="zh-CN"/>
        </w:rPr>
        <w:t>4</w:t>
      </w:r>
      <w:r>
        <w:rPr>
          <w:rFonts w:hint="eastAsia" w:ascii="仿宋" w:eastAsia="仿宋" w:cs="Times New Roman"/>
          <w:sz w:val="30"/>
          <w:szCs w:val="30"/>
          <w:highlight w:val="none"/>
        </w:rPr>
        <w:t>个三级指标。加快推进基础设施建设</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加快推进学校（幼儿园）建设</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优化示范带村庄规划</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完善现代化乡村治理手段。通过评价，该指标已达到预期目标。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（2）效益指标完成情况分析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1）社会效益指标完成情况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社会效益指标设置了</w:t>
      </w:r>
      <w:r>
        <w:rPr>
          <w:rFonts w:hint="eastAsia" w:ascii="仿宋" w:eastAsia="仿宋" w:cs="Times New Roman"/>
          <w:sz w:val="30"/>
          <w:szCs w:val="30"/>
          <w:highlight w:val="none"/>
          <w:lang w:val="en-US" w:eastAsia="zh-CN"/>
        </w:rPr>
        <w:t>2</w:t>
      </w:r>
      <w:r>
        <w:rPr>
          <w:rFonts w:hint="eastAsia" w:ascii="仿宋" w:eastAsia="仿宋" w:cs="Times New Roman"/>
          <w:sz w:val="30"/>
          <w:szCs w:val="30"/>
          <w:highlight w:val="none"/>
        </w:rPr>
        <w:t>个三级指标。推进区经济社会加快发展</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全面建成小康社会</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通过评价，该指标已达到预期目标。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2）可持续发展影响指标完成情况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可持续发展影响指标</w:t>
      </w:r>
      <w:r>
        <w:rPr>
          <w:rFonts w:ascii="仿宋" w:eastAsia="仿宋" w:cs="Times New Roman"/>
          <w:sz w:val="30"/>
          <w:szCs w:val="30"/>
          <w:highlight w:val="none"/>
        </w:rPr>
        <w:t>设置了</w:t>
      </w:r>
      <w:r>
        <w:rPr>
          <w:rFonts w:hint="eastAsia" w:ascii="仿宋" w:eastAsia="仿宋" w:cs="Times New Roman"/>
          <w:sz w:val="30"/>
          <w:szCs w:val="30"/>
          <w:highlight w:val="none"/>
        </w:rPr>
        <w:t>1</w:t>
      </w:r>
      <w:r>
        <w:rPr>
          <w:rFonts w:ascii="仿宋" w:eastAsia="仿宋" w:cs="Times New Roman"/>
          <w:sz w:val="30"/>
          <w:szCs w:val="30"/>
          <w:highlight w:val="none"/>
        </w:rPr>
        <w:t>个三级指标。项目经费有保障</w:t>
      </w:r>
      <w:r>
        <w:rPr>
          <w:rFonts w:hint="eastAsia" w:ascii="仿宋" w:eastAsia="仿宋" w:cs="Times New Roman"/>
          <w:sz w:val="30"/>
          <w:szCs w:val="30"/>
          <w:highlight w:val="none"/>
        </w:rPr>
        <w:t>。通过评价，经费保障及时，该指标已完成</w:t>
      </w:r>
      <w:r>
        <w:rPr>
          <w:rFonts w:ascii="仿宋" w:eastAsia="仿宋" w:cs="Times New Roman"/>
          <w:sz w:val="30"/>
          <w:szCs w:val="30"/>
          <w:highlight w:val="none"/>
        </w:rPr>
        <w:t>。</w:t>
      </w:r>
    </w:p>
    <w:p>
      <w:pPr>
        <w:ind w:firstLine="602" w:firstLineChars="200"/>
        <w:rPr>
          <w:rFonts w:ascii="仿宋" w:eastAsia="仿宋" w:cs="Times New Roman"/>
          <w:sz w:val="30"/>
          <w:szCs w:val="30"/>
          <w:highlight w:val="none"/>
        </w:rPr>
      </w:pPr>
      <w:r>
        <w:rPr>
          <w:rFonts w:hint="eastAsia" w:ascii="仿宋" w:eastAsia="仿宋" w:cs="Times New Roman"/>
          <w:b/>
          <w:bCs/>
          <w:sz w:val="30"/>
          <w:szCs w:val="30"/>
          <w:highlight w:val="none"/>
        </w:rPr>
        <w:t>年度目标9：</w:t>
      </w:r>
      <w:r>
        <w:rPr>
          <w:rFonts w:hint="eastAsia" w:ascii="仿宋" w:eastAsia="仿宋" w:cs="Times New Roman"/>
          <w:sz w:val="30"/>
          <w:szCs w:val="30"/>
          <w:highlight w:val="none"/>
        </w:rPr>
        <w:t>优化营商环境；中央、省生态环保督察反馈问题整改。</w:t>
      </w:r>
    </w:p>
    <w:p>
      <w:pPr>
        <w:ind w:firstLine="602" w:firstLineChars="200"/>
        <w:rPr>
          <w:rFonts w:ascii="仿宋" w:eastAsia="仿宋" w:cs="Times New Roman"/>
          <w:b/>
          <w:sz w:val="30"/>
          <w:szCs w:val="30"/>
          <w:highlight w:val="none"/>
        </w:rPr>
      </w:pPr>
      <w:r>
        <w:rPr>
          <w:rFonts w:hint="eastAsia" w:ascii="仿宋" w:eastAsia="仿宋" w:cs="Times New Roman"/>
          <w:b/>
          <w:sz w:val="30"/>
          <w:szCs w:val="30"/>
          <w:highlight w:val="none"/>
        </w:rPr>
        <w:t>年度绩效目标完成情况如下：</w:t>
      </w:r>
      <w:r>
        <w:rPr>
          <w:rFonts w:hint="eastAsia" w:ascii="仿宋" w:eastAsia="仿宋" w:cs="Times New Roman"/>
          <w:b/>
          <w:sz w:val="30"/>
          <w:szCs w:val="30"/>
          <w:highlight w:val="none"/>
        </w:rPr>
        <w:tab/>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（1）产出指标完成情况分析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1）质量指标完成情况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质量指标设置了2个三级指标。优化营商环境</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整改中央、省生态环保督察反馈问题。通过评价，该指标已达到预期目标。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（2）效益指标完成情况分析</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1）社会效益指标完成情况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社会效益指标设置了1个三级指标。推进区经济社会加快发展，通过评价，该指标已达到预期目标。</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2）可持续发展影响指标完成情况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可持续发展影响指标</w:t>
      </w:r>
      <w:r>
        <w:rPr>
          <w:rFonts w:ascii="仿宋" w:eastAsia="仿宋" w:cs="Times New Roman"/>
          <w:sz w:val="30"/>
          <w:szCs w:val="30"/>
          <w:highlight w:val="none"/>
        </w:rPr>
        <w:t>设置了</w:t>
      </w:r>
      <w:r>
        <w:rPr>
          <w:rFonts w:hint="eastAsia" w:ascii="仿宋" w:eastAsia="仿宋" w:cs="Times New Roman"/>
          <w:sz w:val="30"/>
          <w:szCs w:val="30"/>
          <w:highlight w:val="none"/>
        </w:rPr>
        <w:t>1</w:t>
      </w:r>
      <w:r>
        <w:rPr>
          <w:rFonts w:ascii="仿宋" w:eastAsia="仿宋" w:cs="Times New Roman"/>
          <w:sz w:val="30"/>
          <w:szCs w:val="30"/>
          <w:highlight w:val="none"/>
        </w:rPr>
        <w:t>个三级指标。</w:t>
      </w:r>
      <w:r>
        <w:rPr>
          <w:rFonts w:hint="eastAsia" w:ascii="仿宋" w:eastAsia="仿宋" w:cs="Times New Roman"/>
          <w:sz w:val="30"/>
          <w:szCs w:val="30"/>
          <w:highlight w:val="none"/>
        </w:rPr>
        <w:t>增强政府公信力</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项目经费有保障。通过评价，该指标已达到预期目标</w:t>
      </w:r>
      <w:r>
        <w:rPr>
          <w:rFonts w:ascii="仿宋" w:eastAsia="仿宋" w:cs="Times New Roman"/>
          <w:sz w:val="30"/>
          <w:szCs w:val="30"/>
          <w:highlight w:val="none"/>
        </w:rPr>
        <w:t>。</w:t>
      </w:r>
    </w:p>
    <w:p>
      <w:pPr>
        <w:spacing w:line="360" w:lineRule="auto"/>
        <w:ind w:firstLine="600" w:firstLineChars="200"/>
        <w:outlineLvl w:val="0"/>
        <w:rPr>
          <w:rFonts w:ascii="黑体" w:eastAsia="黑体" w:cs="Times New Roman"/>
          <w:bCs/>
          <w:color w:val="000000"/>
          <w:sz w:val="30"/>
          <w:szCs w:val="30"/>
          <w:highlight w:val="none"/>
        </w:rPr>
      </w:pPr>
      <w:bookmarkStart w:id="5" w:name="_Hlk10729032"/>
      <w:bookmarkStart w:id="6" w:name="_Hlk10726856"/>
      <w:r>
        <w:rPr>
          <w:rFonts w:hint="eastAsia" w:ascii="黑体" w:eastAsia="黑体" w:cs="Times New Roman"/>
          <w:bCs/>
          <w:color w:val="000000"/>
          <w:sz w:val="30"/>
          <w:szCs w:val="30"/>
          <w:highlight w:val="none"/>
        </w:rPr>
        <w:t>三、存在的问题和原因</w:t>
      </w:r>
    </w:p>
    <w:bookmarkEnd w:id="4"/>
    <w:bookmarkEnd w:id="5"/>
    <w:bookmarkEnd w:id="6"/>
    <w:p>
      <w:pPr>
        <w:spacing w:line="360" w:lineRule="auto"/>
        <w:ind w:firstLine="600" w:firstLineChars="200"/>
        <w:rPr>
          <w:rFonts w:ascii="仿宋" w:eastAsia="仿宋" w:cs="Times New Roman"/>
          <w:sz w:val="30"/>
          <w:szCs w:val="30"/>
          <w:highlight w:val="none"/>
        </w:rPr>
      </w:pPr>
      <w:bookmarkStart w:id="7" w:name="_Hlk10729044"/>
      <w:bookmarkStart w:id="8" w:name="_Hlk10726891"/>
      <w:r>
        <w:rPr>
          <w:rFonts w:hint="eastAsia" w:ascii="仿宋" w:eastAsia="仿宋" w:cs="Times New Roman"/>
          <w:sz w:val="30"/>
          <w:szCs w:val="30"/>
          <w:highlight w:val="none"/>
        </w:rPr>
        <w:t>1.</w:t>
      </w:r>
      <w:r>
        <w:rPr>
          <w:rFonts w:hint="eastAsia" w:ascii="仿宋" w:eastAsia="仿宋" w:cs="Times New Roman"/>
          <w:sz w:val="30"/>
          <w:szCs w:val="30"/>
          <w:highlight w:val="none"/>
          <w:lang w:eastAsia="zh-CN"/>
        </w:rPr>
        <w:t>未填写</w:t>
      </w:r>
      <w:r>
        <w:rPr>
          <w:rFonts w:hint="eastAsia" w:ascii="仿宋" w:eastAsia="仿宋" w:cs="Times New Roman"/>
          <w:sz w:val="30"/>
          <w:szCs w:val="30"/>
          <w:highlight w:val="none"/>
        </w:rPr>
        <w:t>年度项目绩效目标申报表</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造成不能有效考核绩效指标和评价绩效目标工作，绩效评价流于形式，无法达到预想的期望。</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2.部门整体支出绩效目标申报表年初未按照新的部门整体支出绩效目标申报表格式编制，部门整体支出绩效目标申报表中年度目标不完整。</w:t>
      </w:r>
    </w:p>
    <w:p>
      <w:pPr>
        <w:spacing w:line="360" w:lineRule="auto"/>
        <w:ind w:firstLine="600" w:firstLineChars="200"/>
        <w:rPr>
          <w:rFonts w:ascii="仿宋" w:eastAsia="仿宋" w:cs="Times New Roman"/>
          <w:sz w:val="30"/>
          <w:szCs w:val="30"/>
          <w:highlight w:val="yellow"/>
        </w:rPr>
      </w:pPr>
      <w:r>
        <w:rPr>
          <w:rFonts w:hint="eastAsia" w:ascii="仿宋" w:eastAsia="仿宋" w:cs="Times New Roman"/>
          <w:sz w:val="30"/>
          <w:szCs w:val="30"/>
          <w:highlight w:val="none"/>
        </w:rPr>
        <w:t>3.预算执行率偏低或</w:t>
      </w:r>
      <w:r>
        <w:rPr>
          <w:rFonts w:hint="eastAsia" w:ascii="仿宋" w:eastAsia="仿宋" w:cs="Times New Roman"/>
          <w:sz w:val="30"/>
          <w:szCs w:val="30"/>
          <w:highlight w:val="none"/>
          <w:lang w:eastAsia="zh-CN"/>
        </w:rPr>
        <w:t>偏</w:t>
      </w:r>
      <w:r>
        <w:rPr>
          <w:rFonts w:hint="eastAsia" w:ascii="仿宋" w:eastAsia="仿宋" w:cs="Times New Roman"/>
          <w:sz w:val="30"/>
          <w:szCs w:val="30"/>
          <w:highlight w:val="none"/>
        </w:rPr>
        <w:t>高。</w:t>
      </w:r>
      <w:bookmarkStart w:id="10" w:name="_GoBack"/>
      <w:r>
        <w:rPr>
          <w:rFonts w:hint="eastAsia" w:ascii="仿宋" w:eastAsia="仿宋" w:cs="Times New Roman"/>
          <w:sz w:val="30"/>
          <w:szCs w:val="30"/>
          <w:highlight w:val="none"/>
        </w:rPr>
        <w:t>2020年个体户纾困专项贷款贴息资金追加预算128627.1元。2020年初，受新冠疫情影响，市政府出台《市人民政府办公厅关于印发武汉市应对新冠疫情影响个体工商户纾困专项资金使用管理办法的通知》（武政办〔2020〕31号）和《市人民政府关于进一步完善政策性担保和纾困贴息机制促进中小微企业稳定发展的意见》（武政规〔2020〕16号），对获得纾困专项贷款资金的个体工商户给予贴息支持，2020年获得贴息的52笔个体工商户首次贴息资金共计128627.1元，该笔款项属追加预算资金，因此未纳入2020年预算资金</w:t>
      </w:r>
      <w:r>
        <w:rPr>
          <w:rFonts w:hint="eastAsia" w:ascii="仿宋" w:eastAsia="仿宋" w:cs="Times New Roman"/>
          <w:sz w:val="30"/>
          <w:szCs w:val="30"/>
          <w:highlight w:val="none"/>
          <w:lang w:eastAsia="zh-CN"/>
        </w:rPr>
        <w:t>，导致预算执行率偏高</w:t>
      </w:r>
      <w:r>
        <w:rPr>
          <w:rFonts w:hint="eastAsia" w:ascii="仿宋" w:eastAsia="仿宋" w:cs="Times New Roman"/>
          <w:sz w:val="30"/>
          <w:szCs w:val="30"/>
          <w:highlight w:val="none"/>
        </w:rPr>
        <w:t>。</w:t>
      </w:r>
      <w:bookmarkEnd w:id="10"/>
    </w:p>
    <w:p>
      <w:pPr>
        <w:spacing w:line="360" w:lineRule="auto"/>
        <w:ind w:firstLine="600" w:firstLineChars="200"/>
        <w:outlineLvl w:val="0"/>
        <w:rPr>
          <w:rFonts w:ascii="黑体" w:eastAsia="黑体" w:cs="Times New Roman"/>
          <w:bCs/>
          <w:color w:val="000000"/>
          <w:sz w:val="30"/>
          <w:szCs w:val="30"/>
          <w:highlight w:val="none"/>
        </w:rPr>
      </w:pPr>
      <w:r>
        <w:rPr>
          <w:rFonts w:hint="eastAsia" w:ascii="黑体" w:eastAsia="黑体" w:cs="Times New Roman"/>
          <w:bCs/>
          <w:color w:val="000000"/>
          <w:sz w:val="30"/>
          <w:szCs w:val="30"/>
          <w:highlight w:val="none"/>
        </w:rPr>
        <w:t>四、下一步拟改进措施</w:t>
      </w:r>
    </w:p>
    <w:p>
      <w:pPr>
        <w:ind w:firstLine="600" w:firstLineChars="200"/>
        <w:outlineLvl w:val="0"/>
        <w:rPr>
          <w:rFonts w:ascii="黑体" w:eastAsia="黑体" w:cs="Times New Roman"/>
          <w:bCs/>
          <w:color w:val="000000"/>
          <w:sz w:val="30"/>
          <w:szCs w:val="30"/>
          <w:highlight w:val="none"/>
        </w:rPr>
      </w:pPr>
      <w:r>
        <w:rPr>
          <w:rFonts w:hint="eastAsia" w:ascii="黑体" w:eastAsia="黑体" w:cs="Times New Roman"/>
          <w:bCs/>
          <w:color w:val="000000"/>
          <w:sz w:val="30"/>
          <w:szCs w:val="30"/>
          <w:highlight w:val="none"/>
        </w:rPr>
        <w:t>1.下一步拟改进措施</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部门整体支出绩效目标申报表</w:t>
      </w:r>
      <w:r>
        <w:rPr>
          <w:rFonts w:hint="eastAsia" w:ascii="仿宋" w:eastAsia="仿宋" w:cs="Times New Roman"/>
          <w:sz w:val="30"/>
          <w:szCs w:val="30"/>
          <w:highlight w:val="none"/>
          <w:lang w:eastAsia="zh-CN"/>
        </w:rPr>
        <w:t>和部门项目支出绩效目标表</w:t>
      </w:r>
      <w:r>
        <w:rPr>
          <w:rFonts w:hint="eastAsia" w:ascii="仿宋" w:eastAsia="仿宋" w:cs="Times New Roman"/>
          <w:sz w:val="30"/>
          <w:szCs w:val="30"/>
          <w:highlight w:val="none"/>
        </w:rPr>
        <w:t>作为部门绩效目标审核、预算资</w:t>
      </w:r>
      <w:bookmarkStart w:id="9" w:name="LastView"/>
      <w:r>
        <w:rPr>
          <w:rFonts w:hint="eastAsia" w:ascii="仿宋" w:eastAsia="仿宋" w:cs="Times New Roman"/>
          <w:sz w:val="30"/>
          <w:szCs w:val="30"/>
          <w:highlight w:val="none"/>
        </w:rPr>
        <w:t>金确定和绩效评价的主要依据，应认真完整规范填制，逐步建立绩效目标及预算管理体系。下一步</w:t>
      </w:r>
      <w:r>
        <w:rPr>
          <w:rFonts w:hint="eastAsia" w:ascii="仿宋" w:eastAsia="仿宋" w:cs="Times New Roman"/>
          <w:sz w:val="30"/>
          <w:szCs w:val="30"/>
          <w:highlight w:val="none"/>
          <w:lang w:eastAsia="zh-CN"/>
        </w:rPr>
        <w:t>建议</w:t>
      </w:r>
      <w:r>
        <w:rPr>
          <w:rFonts w:hint="eastAsia" w:ascii="仿宋" w:eastAsia="仿宋" w:cs="Times New Roman"/>
          <w:sz w:val="30"/>
          <w:szCs w:val="30"/>
          <w:highlight w:val="none"/>
        </w:rPr>
        <w:t>强化绩效目标可细化性，将部门整体的绩效目标细化分解为具体工作任务，使之进一步清晰、量化。</w:t>
      </w:r>
    </w:p>
    <w:bookmarkEnd w:id="9"/>
    <w:p>
      <w:pPr>
        <w:spacing w:line="360" w:lineRule="auto"/>
        <w:ind w:firstLine="600" w:firstLineChars="200"/>
        <w:rPr>
          <w:rFonts w:ascii="仿宋" w:eastAsia="仿宋" w:cs="Times New Roman"/>
          <w:sz w:val="30"/>
          <w:szCs w:val="30"/>
          <w:highlight w:val="yellow"/>
        </w:rPr>
      </w:pPr>
      <w:r>
        <w:rPr>
          <w:rFonts w:hint="eastAsia" w:ascii="仿宋" w:eastAsia="仿宋" w:cs="Times New Roman"/>
          <w:sz w:val="30"/>
          <w:szCs w:val="30"/>
          <w:highlight w:val="none"/>
        </w:rPr>
        <w:t>为提高预算编制准确率，可从下面几个方面改进：一是区</w:t>
      </w:r>
      <w:r>
        <w:rPr>
          <w:rFonts w:hint="eastAsia" w:ascii="仿宋" w:eastAsia="仿宋" w:cs="Times New Roman"/>
          <w:sz w:val="30"/>
          <w:szCs w:val="30"/>
          <w:highlight w:val="none"/>
          <w:lang w:eastAsia="zh-CN"/>
        </w:rPr>
        <w:t>人民政府办公室</w:t>
      </w:r>
      <w:r>
        <w:rPr>
          <w:rFonts w:hint="eastAsia" w:ascii="仿宋" w:eastAsia="仿宋" w:cs="Times New Roman"/>
          <w:sz w:val="30"/>
          <w:szCs w:val="30"/>
          <w:highlight w:val="none"/>
        </w:rPr>
        <w:t>应加强对预算编制标准的调研，增强预算编制的科学性；二是进一步规范预算管理，促进预算管理与经费支出标准的有机结合；三是提高预算编制</w:t>
      </w:r>
      <w:r>
        <w:rPr>
          <w:rFonts w:ascii="仿宋" w:eastAsia="仿宋" w:cs="Times New Roman"/>
          <w:sz w:val="30"/>
          <w:szCs w:val="30"/>
          <w:highlight w:val="none"/>
        </w:rPr>
        <w:t>的基础性工作，力求预算完整细化</w:t>
      </w:r>
      <w:r>
        <w:rPr>
          <w:rFonts w:hint="eastAsia" w:ascii="仿宋" w:eastAsia="仿宋" w:cs="Times New Roman"/>
          <w:sz w:val="30"/>
          <w:szCs w:val="30"/>
          <w:highlight w:val="none"/>
        </w:rPr>
        <w:t>。强化对支出标准执行情况的监督，有效控制区</w:t>
      </w:r>
      <w:r>
        <w:rPr>
          <w:rFonts w:hint="eastAsia" w:ascii="仿宋" w:eastAsia="仿宋" w:cs="Times New Roman"/>
          <w:sz w:val="30"/>
          <w:szCs w:val="30"/>
          <w:highlight w:val="none"/>
          <w:lang w:eastAsia="zh-CN"/>
        </w:rPr>
        <w:t>人民政府办公室</w:t>
      </w:r>
      <w:r>
        <w:rPr>
          <w:rFonts w:hint="eastAsia" w:ascii="仿宋" w:eastAsia="仿宋" w:cs="Times New Roman"/>
          <w:sz w:val="30"/>
          <w:szCs w:val="30"/>
          <w:highlight w:val="none"/>
        </w:rPr>
        <w:t>支出；</w:t>
      </w:r>
      <w:r>
        <w:rPr>
          <w:rFonts w:hint="eastAsia" w:ascii="仿宋" w:eastAsia="仿宋" w:cs="Times New Roman"/>
          <w:sz w:val="30"/>
          <w:szCs w:val="30"/>
          <w:highlight w:val="none"/>
          <w:lang w:eastAsia="zh-CN"/>
        </w:rPr>
        <w:t>四是</w:t>
      </w:r>
      <w:r>
        <w:rPr>
          <w:rFonts w:hint="eastAsia" w:ascii="仿宋" w:eastAsia="仿宋" w:cs="Times New Roman"/>
          <w:sz w:val="30"/>
          <w:szCs w:val="30"/>
          <w:highlight w:val="none"/>
        </w:rPr>
        <w:t>落实厉行节约要求，严格机关运行经费管理，加强人员编制管理和资产管理，完善日常公用经费定额标准和专项公用经费编制标准，逐步建立与资产管理相结合、与决算相衔接的基本支出定额标准。按照新的项目支出分级、分类管理办法，加快推进项目支出标准体系建设。</w:t>
      </w:r>
    </w:p>
    <w:p>
      <w:pPr>
        <w:ind w:firstLine="600" w:firstLineChars="200"/>
        <w:outlineLvl w:val="0"/>
        <w:rPr>
          <w:rFonts w:ascii="黑体" w:eastAsia="黑体" w:cs="Times New Roman"/>
          <w:bCs/>
          <w:color w:val="000000"/>
          <w:sz w:val="30"/>
          <w:szCs w:val="30"/>
          <w:highlight w:val="none"/>
        </w:rPr>
      </w:pPr>
      <w:r>
        <w:rPr>
          <w:rFonts w:hint="eastAsia" w:ascii="黑体" w:eastAsia="黑体" w:cs="Times New Roman"/>
          <w:bCs/>
          <w:color w:val="000000"/>
          <w:sz w:val="30"/>
          <w:szCs w:val="30"/>
          <w:highlight w:val="none"/>
        </w:rPr>
        <w:t>2.拟与预算安排相结合情况</w:t>
      </w:r>
    </w:p>
    <w:p>
      <w:pPr>
        <w:spacing w:line="360" w:lineRule="auto"/>
        <w:ind w:firstLine="600" w:firstLineChars="200"/>
        <w:rPr>
          <w:rFonts w:ascii="仿宋" w:eastAsia="仿宋" w:cs="Times New Roman"/>
          <w:sz w:val="30"/>
          <w:szCs w:val="30"/>
          <w:highlight w:val="yellow"/>
        </w:rPr>
      </w:pPr>
      <w:r>
        <w:rPr>
          <w:rFonts w:hint="eastAsia" w:ascii="仿宋" w:eastAsia="仿宋" w:cs="Times New Roman"/>
          <w:sz w:val="30"/>
          <w:szCs w:val="30"/>
          <w:highlight w:val="none"/>
        </w:rPr>
        <w:t>“</w:t>
      </w:r>
      <w:r>
        <w:rPr>
          <w:rFonts w:ascii="仿宋" w:eastAsia="仿宋" w:cs="Times New Roman"/>
          <w:sz w:val="30"/>
          <w:szCs w:val="30"/>
          <w:highlight w:val="none"/>
        </w:rPr>
        <w:t>20</w:t>
      </w:r>
      <w:r>
        <w:rPr>
          <w:rFonts w:hint="eastAsia" w:ascii="仿宋" w:eastAsia="仿宋" w:cs="Times New Roman"/>
          <w:sz w:val="30"/>
          <w:szCs w:val="30"/>
          <w:highlight w:val="none"/>
        </w:rPr>
        <w:t>20</w:t>
      </w:r>
      <w:r>
        <w:rPr>
          <w:rFonts w:ascii="仿宋" w:eastAsia="仿宋" w:cs="Times New Roman"/>
          <w:sz w:val="30"/>
          <w:szCs w:val="30"/>
          <w:highlight w:val="none"/>
        </w:rPr>
        <w:t>年</w:t>
      </w:r>
      <w:r>
        <w:rPr>
          <w:rFonts w:hint="eastAsia" w:ascii="仿宋" w:eastAsia="仿宋" w:cs="Times New Roman"/>
          <w:sz w:val="30"/>
          <w:szCs w:val="30"/>
          <w:highlight w:val="none"/>
        </w:rPr>
        <w:t>度整体绩效”评价对预算编制情况进行了关注。区</w:t>
      </w:r>
      <w:r>
        <w:rPr>
          <w:rFonts w:hint="eastAsia" w:ascii="仿宋" w:eastAsia="仿宋" w:cs="Times New Roman"/>
          <w:sz w:val="30"/>
          <w:szCs w:val="30"/>
          <w:highlight w:val="none"/>
          <w:lang w:eastAsia="zh-CN"/>
        </w:rPr>
        <w:t>人民政府办公室</w:t>
      </w:r>
      <w:r>
        <w:rPr>
          <w:rFonts w:hint="eastAsia" w:ascii="仿宋" w:eastAsia="仿宋" w:cs="Times New Roman"/>
          <w:sz w:val="30"/>
          <w:szCs w:val="30"/>
          <w:highlight w:val="none"/>
        </w:rPr>
        <w:t>2020年度部门预算收入（一般公共预算收入）1,568.90万元，实际预算支出2,152.10万元，执行率为137.17%。</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区</w:t>
      </w:r>
      <w:r>
        <w:rPr>
          <w:rFonts w:hint="eastAsia" w:ascii="仿宋" w:eastAsia="仿宋" w:cs="Times New Roman"/>
          <w:sz w:val="30"/>
          <w:szCs w:val="30"/>
          <w:highlight w:val="none"/>
          <w:lang w:eastAsia="zh-CN"/>
        </w:rPr>
        <w:t>人民政府办公室</w:t>
      </w:r>
      <w:r>
        <w:rPr>
          <w:rFonts w:hint="eastAsia" w:ascii="仿宋" w:eastAsia="仿宋" w:cs="Times New Roman"/>
          <w:sz w:val="30"/>
          <w:szCs w:val="30"/>
          <w:highlight w:val="none"/>
        </w:rPr>
        <w:t>编制预算时由于客观原因，无法准确预估来年项目经费</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从而导致预算执行率</w:t>
      </w:r>
      <w:r>
        <w:rPr>
          <w:rFonts w:hint="eastAsia" w:ascii="仿宋" w:eastAsia="仿宋" w:cs="Times New Roman"/>
          <w:sz w:val="30"/>
          <w:szCs w:val="30"/>
          <w:highlight w:val="none"/>
          <w:lang w:eastAsia="zh-CN"/>
        </w:rPr>
        <w:t>偏</w:t>
      </w:r>
      <w:r>
        <w:rPr>
          <w:rFonts w:hint="eastAsia" w:ascii="仿宋" w:eastAsia="仿宋" w:cs="Times New Roman"/>
          <w:sz w:val="30"/>
          <w:szCs w:val="30"/>
          <w:highlight w:val="none"/>
        </w:rPr>
        <w:t>高。</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建议区</w:t>
      </w:r>
      <w:r>
        <w:rPr>
          <w:rFonts w:hint="eastAsia" w:ascii="仿宋" w:eastAsia="仿宋" w:cs="Times New Roman"/>
          <w:sz w:val="30"/>
          <w:szCs w:val="30"/>
          <w:highlight w:val="none"/>
          <w:lang w:eastAsia="zh-CN"/>
        </w:rPr>
        <w:t>人民政府办公室</w:t>
      </w:r>
      <w:r>
        <w:rPr>
          <w:rFonts w:hint="eastAsia" w:ascii="仿宋" w:eastAsia="仿宋" w:cs="Times New Roman"/>
          <w:sz w:val="30"/>
          <w:szCs w:val="30"/>
          <w:highlight w:val="none"/>
        </w:rPr>
        <w:t>在下一步工作中重点关注，根据历年决算情况，结合单位和社会的大环境要求，在编制下一年度预算时充分考虑收入增减预期，使预算编制更加合理、科学。</w:t>
      </w:r>
    </w:p>
    <w:bookmarkEnd w:id="7"/>
    <w:bookmarkEnd w:id="8"/>
    <w:p>
      <w:pPr>
        <w:spacing w:line="360" w:lineRule="auto"/>
        <w:ind w:firstLine="600" w:firstLineChars="200"/>
        <w:outlineLvl w:val="0"/>
        <w:rPr>
          <w:rFonts w:ascii="黑体" w:eastAsia="黑体" w:cs="Times New Roman"/>
          <w:bCs/>
          <w:color w:val="000000"/>
          <w:sz w:val="30"/>
          <w:szCs w:val="30"/>
          <w:highlight w:val="none"/>
        </w:rPr>
      </w:pPr>
      <w:r>
        <w:rPr>
          <w:rFonts w:hint="eastAsia" w:ascii="黑体" w:eastAsia="黑体" w:cs="Times New Roman"/>
          <w:bCs/>
          <w:color w:val="000000"/>
          <w:sz w:val="30"/>
          <w:szCs w:val="30"/>
          <w:highlight w:val="none"/>
        </w:rPr>
        <w:t>五、绩效评价方法及结果</w:t>
      </w:r>
    </w:p>
    <w:p>
      <w:pPr>
        <w:spacing w:line="360" w:lineRule="auto"/>
        <w:ind w:firstLine="600" w:firstLineChars="200"/>
        <w:outlineLvl w:val="0"/>
        <w:rPr>
          <w:rFonts w:ascii="黑体" w:eastAsia="黑体" w:cs="Times New Roman"/>
          <w:bCs/>
          <w:color w:val="000000"/>
          <w:sz w:val="30"/>
          <w:szCs w:val="30"/>
          <w:highlight w:val="none"/>
        </w:rPr>
      </w:pPr>
      <w:r>
        <w:rPr>
          <w:rFonts w:hint="eastAsia" w:ascii="黑体" w:eastAsia="黑体" w:cs="Times New Roman"/>
          <w:bCs/>
          <w:color w:val="000000"/>
          <w:sz w:val="30"/>
          <w:szCs w:val="30"/>
          <w:highlight w:val="none"/>
        </w:rPr>
        <w:t>1.绩效评价方法</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评价方法主要采用成本效益分析法、比较法、最低成本法、公众评判法、因素分析法等。</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成本效益分析法：是将一定时期内的支出与效益进行对比分析，以评价绩效目标实现程度。</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比较法：是指通过对绩效目标与实施效果、历史与档期情况、不同部门、不用地区同类支出的比较，综合分析绩效目标实现程度。</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最低成本法：是指对效益确定却不易计量的同类对象的实施成本进行比较，评价绩效目标实现程度。</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公众评判法：是指通过专家评估、公众问卷及抽样调查等对财政支出效果进行评判，评价绩效目标实现程度。</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因素分析法：是指通过综合分析影响绩效目标实现、实施效果的内外因素，评价绩效目标实现程度。</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区</w:t>
      </w:r>
      <w:r>
        <w:rPr>
          <w:rFonts w:hint="eastAsia" w:ascii="仿宋" w:eastAsia="仿宋" w:cs="Times New Roman"/>
          <w:sz w:val="30"/>
          <w:szCs w:val="30"/>
          <w:highlight w:val="none"/>
          <w:lang w:eastAsia="zh-CN"/>
        </w:rPr>
        <w:t>人民政府办公室</w:t>
      </w:r>
      <w:r>
        <w:rPr>
          <w:rFonts w:hint="eastAsia" w:ascii="仿宋" w:eastAsia="仿宋" w:cs="Times New Roman"/>
          <w:sz w:val="30"/>
          <w:szCs w:val="30"/>
          <w:highlight w:val="none"/>
        </w:rPr>
        <w:t>“</w:t>
      </w:r>
      <w:r>
        <w:rPr>
          <w:rFonts w:ascii="仿宋" w:eastAsia="仿宋" w:cs="Times New Roman"/>
          <w:sz w:val="30"/>
          <w:szCs w:val="30"/>
          <w:highlight w:val="none"/>
        </w:rPr>
        <w:t>20</w:t>
      </w:r>
      <w:r>
        <w:rPr>
          <w:rFonts w:hint="eastAsia" w:ascii="仿宋" w:eastAsia="仿宋" w:cs="Times New Roman"/>
          <w:sz w:val="30"/>
          <w:szCs w:val="30"/>
          <w:highlight w:val="none"/>
        </w:rPr>
        <w:t>20</w:t>
      </w:r>
      <w:r>
        <w:rPr>
          <w:rFonts w:ascii="仿宋" w:eastAsia="仿宋" w:cs="Times New Roman"/>
          <w:sz w:val="30"/>
          <w:szCs w:val="30"/>
          <w:highlight w:val="none"/>
        </w:rPr>
        <w:t>年</w:t>
      </w:r>
      <w:r>
        <w:rPr>
          <w:rFonts w:hint="eastAsia" w:ascii="仿宋" w:eastAsia="仿宋" w:cs="Times New Roman"/>
          <w:sz w:val="30"/>
          <w:szCs w:val="30"/>
          <w:highlight w:val="none"/>
        </w:rPr>
        <w:t>度整体绩效”评价根据其特点和评价工作的要求，选择比较法、公众评判法、统计计算法、实地考察等方法进行绩效评价分析，与此同时，我们将收集大量直接的统计资料进行分析研究。</w:t>
      </w:r>
    </w:p>
    <w:p>
      <w:pPr>
        <w:spacing w:line="360" w:lineRule="auto"/>
        <w:ind w:firstLine="600" w:firstLineChars="200"/>
        <w:outlineLvl w:val="0"/>
        <w:rPr>
          <w:rFonts w:ascii="黑体" w:eastAsia="黑体" w:cs="Times New Roman"/>
          <w:bCs/>
          <w:color w:val="000000"/>
          <w:sz w:val="30"/>
          <w:szCs w:val="30"/>
          <w:highlight w:val="none"/>
        </w:rPr>
      </w:pPr>
      <w:r>
        <w:rPr>
          <w:rFonts w:hint="eastAsia" w:ascii="黑体" w:eastAsia="黑体" w:cs="Times New Roman"/>
          <w:bCs/>
          <w:color w:val="000000"/>
          <w:sz w:val="30"/>
          <w:szCs w:val="30"/>
          <w:highlight w:val="none"/>
        </w:rPr>
        <w:t>2.</w:t>
      </w:r>
      <w:r>
        <w:rPr>
          <w:rFonts w:ascii="黑体" w:eastAsia="黑体" w:cs="Times New Roman"/>
          <w:bCs/>
          <w:color w:val="000000"/>
          <w:sz w:val="30"/>
          <w:szCs w:val="30"/>
          <w:highlight w:val="none"/>
        </w:rPr>
        <w:t>评价结果</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区</w:t>
      </w:r>
      <w:r>
        <w:rPr>
          <w:rFonts w:hint="eastAsia" w:ascii="仿宋" w:eastAsia="仿宋" w:cs="Times New Roman"/>
          <w:sz w:val="30"/>
          <w:szCs w:val="30"/>
          <w:highlight w:val="none"/>
          <w:lang w:eastAsia="zh-CN"/>
        </w:rPr>
        <w:t>人民政府办公室</w:t>
      </w:r>
      <w:r>
        <w:rPr>
          <w:rFonts w:hint="eastAsia" w:ascii="仿宋" w:eastAsia="仿宋" w:cs="Times New Roman"/>
          <w:sz w:val="30"/>
          <w:szCs w:val="30"/>
          <w:highlight w:val="none"/>
        </w:rPr>
        <w:t>按“2020年度整体绩效”评价的要求逐步实施，有效地完成整体年度目标，通过“2020年度整体绩效”落实统筹协调职能，全力推进复工复产，为全区疫后重振和经济社会发展尽职履责</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决胜脱贫攻坚，深化金融服务</w:t>
      </w:r>
      <w:r>
        <w:rPr>
          <w:rFonts w:hint="eastAsia" w:ascii="仿宋" w:eastAsia="仿宋" w:cs="Times New Roman"/>
          <w:sz w:val="30"/>
          <w:szCs w:val="30"/>
          <w:highlight w:val="none"/>
          <w:lang w:eastAsia="zh-CN"/>
        </w:rPr>
        <w:t>；严格落实会议审批制度，合理安排会议时间，控制会议规模，务实高效节俭办会，提高会议实效，大力推行“多会合一”和视频会议。</w:t>
      </w:r>
      <w:r>
        <w:rPr>
          <w:rFonts w:hint="eastAsia" w:ascii="仿宋" w:eastAsia="仿宋" w:cs="Times New Roman"/>
          <w:sz w:val="30"/>
          <w:szCs w:val="30"/>
          <w:highlight w:val="none"/>
        </w:rPr>
        <w:t>对于本次绩效评价中能获得数据的绩效指标，均完成了年度绩效目标值，“2020年度整体绩效”评价结果为“良好”。</w:t>
      </w:r>
    </w:p>
    <w:p>
      <w:pPr>
        <w:ind w:firstLine="600" w:firstLineChars="200"/>
        <w:rPr>
          <w:rFonts w:ascii="仿宋" w:eastAsia="仿宋" w:cs="Times New Roman"/>
          <w:sz w:val="30"/>
          <w:szCs w:val="30"/>
        </w:rPr>
      </w:pPr>
    </w:p>
    <w:p>
      <w:pPr>
        <w:widowControl/>
        <w:jc w:val="left"/>
        <w:rPr>
          <w:rFonts w:ascii="楷体_GB2312" w:eastAsia="楷体_GB2312" w:cs="Times New Roman"/>
          <w:sz w:val="24"/>
          <w:szCs w:val="24"/>
        </w:rPr>
      </w:pPr>
      <w:r>
        <w:rPr>
          <w:rFonts w:ascii="仿宋" w:eastAsia="仿宋" w:cs="Times New Roman"/>
          <w:sz w:val="30"/>
          <w:szCs w:val="30"/>
        </w:rPr>
        <w:br w:type="page"/>
      </w:r>
      <w:r>
        <w:rPr>
          <w:rFonts w:hint="eastAsia" w:ascii="仿宋" w:hAnsi="仿宋" w:eastAsia="仿宋" w:cs="仿宋"/>
          <w:sz w:val="24"/>
        </w:rPr>
        <w:t>附件：</w:t>
      </w:r>
      <w:r>
        <w:rPr>
          <w:rFonts w:hint="eastAsia" w:ascii="楷体_GB2312" w:eastAsia="楷体_GB2312" w:cs="Times New Roman"/>
          <w:sz w:val="24"/>
          <w:szCs w:val="24"/>
        </w:rPr>
        <w:t xml:space="preserve"> </w:t>
      </w:r>
    </w:p>
    <w:p>
      <w:pPr>
        <w:widowControl/>
        <w:jc w:val="left"/>
        <w:rPr>
          <w:rFonts w:ascii="仿宋" w:hAnsi="仿宋" w:eastAsia="仿宋" w:cs="仿宋"/>
          <w:sz w:val="24"/>
          <w:szCs w:val="24"/>
        </w:rPr>
      </w:pPr>
    </w:p>
    <w:p>
      <w:pPr>
        <w:rPr>
          <w:rFonts w:ascii="仿宋" w:hAnsi="仿宋" w:eastAsia="仿宋" w:cs="仿宋"/>
          <w:sz w:val="24"/>
        </w:rPr>
      </w:pPr>
      <w:r>
        <w:rPr>
          <w:rFonts w:hint="eastAsia" w:ascii="仿宋" w:hAnsi="仿宋" w:eastAsia="仿宋" w:cs="仿宋"/>
          <w:sz w:val="24"/>
        </w:rPr>
        <w:t>1. “2020年度武汉市蔡甸区人民政府办公室整体绩效”自评表</w:t>
      </w:r>
    </w:p>
    <w:p>
      <w:pPr>
        <w:adjustRightInd w:val="0"/>
        <w:snapToGrid w:val="0"/>
        <w:spacing w:line="450" w:lineRule="exact"/>
        <w:rPr>
          <w:rFonts w:ascii="仿宋" w:hAnsi="仿宋" w:eastAsia="仿宋" w:cs="仿宋"/>
          <w:sz w:val="24"/>
        </w:rPr>
      </w:pPr>
      <w:r>
        <w:rPr>
          <w:rFonts w:hint="eastAsia" w:ascii="仿宋" w:hAnsi="仿宋" w:eastAsia="仿宋" w:cs="仿宋"/>
          <w:sz w:val="24"/>
          <w:szCs w:val="24"/>
        </w:rPr>
        <w:t>2．</w:t>
      </w:r>
      <w:r>
        <w:rPr>
          <w:rFonts w:hint="eastAsia" w:ascii="仿宋" w:hAnsi="仿宋" w:eastAsia="仿宋" w:cs="仿宋"/>
          <w:sz w:val="24"/>
        </w:rPr>
        <w:t>审计机构营业执照复印件</w:t>
      </w:r>
    </w:p>
    <w:p>
      <w:pPr>
        <w:adjustRightInd w:val="0"/>
        <w:snapToGrid w:val="0"/>
        <w:spacing w:line="450" w:lineRule="exact"/>
        <w:rPr>
          <w:rFonts w:ascii="仿宋" w:hAnsi="仿宋" w:eastAsia="仿宋" w:cs="仿宋"/>
          <w:sz w:val="24"/>
        </w:rPr>
      </w:pPr>
      <w:r>
        <w:rPr>
          <w:rFonts w:hint="eastAsia" w:ascii="仿宋" w:hAnsi="仿宋" w:eastAsia="仿宋" w:cs="仿宋"/>
          <w:sz w:val="24"/>
          <w:szCs w:val="24"/>
        </w:rPr>
        <w:t>3．</w:t>
      </w:r>
      <w:r>
        <w:rPr>
          <w:rFonts w:hint="eastAsia" w:ascii="仿宋" w:hAnsi="仿宋" w:eastAsia="仿宋" w:cs="仿宋"/>
          <w:sz w:val="24"/>
        </w:rPr>
        <w:t>审计机构执业证书复印件</w:t>
      </w:r>
    </w:p>
    <w:p>
      <w:pPr>
        <w:adjustRightInd w:val="0"/>
        <w:snapToGrid w:val="0"/>
        <w:spacing w:line="450" w:lineRule="exact"/>
        <w:rPr>
          <w:rFonts w:ascii="仿宋" w:hAnsi="仿宋" w:eastAsia="仿宋" w:cs="仿宋"/>
          <w:sz w:val="24"/>
        </w:rPr>
      </w:pPr>
      <w:r>
        <w:rPr>
          <w:rFonts w:hint="eastAsia" w:ascii="仿宋" w:hAnsi="仿宋" w:eastAsia="仿宋" w:cs="仿宋"/>
          <w:kern w:val="0"/>
          <w:sz w:val="28"/>
          <w:szCs w:val="28"/>
        </w:rPr>
        <w:t>4.</w:t>
      </w:r>
      <w:r>
        <w:rPr>
          <w:rFonts w:hint="eastAsia" w:ascii="仿宋" w:hAnsi="仿宋" w:eastAsia="仿宋" w:cs="仿宋"/>
          <w:sz w:val="24"/>
        </w:rPr>
        <w:t xml:space="preserve"> 注册会计师执业资格证书复印件</w:t>
      </w:r>
    </w:p>
    <w:p>
      <w:pPr>
        <w:autoSpaceDE w:val="0"/>
        <w:autoSpaceDN w:val="0"/>
        <w:adjustRightInd w:val="0"/>
        <w:snapToGrid w:val="0"/>
        <w:spacing w:line="440" w:lineRule="exact"/>
        <w:rPr>
          <w:rFonts w:ascii="楷体_GB2312" w:eastAsia="楷体_GB2312" w:cs="Times New Roman"/>
          <w:kern w:val="0"/>
          <w:sz w:val="28"/>
          <w:szCs w:val="28"/>
        </w:rPr>
      </w:pPr>
    </w:p>
    <w:p>
      <w:pPr>
        <w:autoSpaceDE w:val="0"/>
        <w:autoSpaceDN w:val="0"/>
        <w:adjustRightInd w:val="0"/>
        <w:snapToGrid w:val="0"/>
        <w:spacing w:line="440" w:lineRule="exact"/>
        <w:rPr>
          <w:rFonts w:ascii="楷体_GB2312" w:eastAsia="楷体_GB2312" w:cs="Times New Roman"/>
          <w:kern w:val="0"/>
          <w:sz w:val="28"/>
          <w:szCs w:val="28"/>
        </w:rPr>
      </w:pPr>
    </w:p>
    <w:p>
      <w:pPr>
        <w:autoSpaceDE w:val="0"/>
        <w:autoSpaceDN w:val="0"/>
        <w:adjustRightInd w:val="0"/>
        <w:snapToGrid w:val="0"/>
        <w:spacing w:line="440" w:lineRule="exact"/>
        <w:rPr>
          <w:rFonts w:ascii="楷体_GB2312" w:eastAsia="楷体_GB2312" w:cs="Times New Roman"/>
          <w:kern w:val="0"/>
          <w:sz w:val="28"/>
          <w:szCs w:val="28"/>
        </w:rPr>
      </w:pPr>
    </w:p>
    <w:p>
      <w:pPr>
        <w:spacing w:line="480" w:lineRule="auto"/>
        <w:rPr>
          <w:rFonts w:ascii="楷体_GB2312" w:eastAsia="楷体_GB2312" w:cs="Times New Roman"/>
          <w:sz w:val="28"/>
        </w:rPr>
      </w:pPr>
      <w:r>
        <w:rPr>
          <w:rFonts w:hint="eastAsia" w:ascii="楷体_GB2312" w:eastAsia="楷体_GB2312" w:cs="Times New Roman"/>
          <w:sz w:val="28"/>
        </w:rPr>
        <w:t>湖北正大会计师事务有限责任公司        中国注册会计师：</w:t>
      </w:r>
      <w:r>
        <w:rPr>
          <w:rFonts w:hint="eastAsia" w:ascii="楷体_GB2312" w:eastAsia="楷体_GB2312" w:cs="Times New Roman"/>
          <w:sz w:val="28"/>
          <w:lang w:eastAsia="zh-CN"/>
        </w:rPr>
        <w:t>陈菊英</w:t>
      </w:r>
      <w:r>
        <w:rPr>
          <w:rFonts w:ascii="楷体_GB2312" w:eastAsia="楷体_GB2312" w:cs="Times New Roman"/>
          <w:sz w:val="28"/>
        </w:rPr>
        <w:t xml:space="preserve"> </w:t>
      </w:r>
    </w:p>
    <w:p>
      <w:pPr>
        <w:spacing w:line="480" w:lineRule="auto"/>
        <w:rPr>
          <w:rFonts w:ascii="楷体_GB2312" w:eastAsia="楷体_GB2312" w:cs="Times New Roman"/>
          <w:sz w:val="28"/>
        </w:rPr>
      </w:pPr>
      <w:r>
        <w:rPr>
          <w:rFonts w:hint="eastAsia" w:ascii="楷体_GB2312" w:eastAsia="楷体_GB2312" w:cs="Times New Roman"/>
          <w:sz w:val="28"/>
        </w:rPr>
        <w:t xml:space="preserve">         中国</w:t>
      </w:r>
      <w:r>
        <w:rPr>
          <w:rFonts w:hint="eastAsia" w:ascii="宋体" w:cs="宋体"/>
          <w:sz w:val="28"/>
        </w:rPr>
        <w:t>•</w:t>
      </w:r>
      <w:r>
        <w:rPr>
          <w:rFonts w:hint="eastAsia" w:ascii="楷体_GB2312" w:eastAsia="楷体_GB2312" w:cs="楷体_GB2312"/>
          <w:sz w:val="28"/>
        </w:rPr>
        <w:t>武汉</w:t>
      </w:r>
    </w:p>
    <w:p>
      <w:pPr>
        <w:spacing w:line="480" w:lineRule="auto"/>
        <w:rPr>
          <w:rFonts w:hint="eastAsia" w:ascii="楷体_GB2312" w:eastAsia="楷体_GB2312" w:cs="Times New Roman"/>
          <w:sz w:val="28"/>
          <w:lang w:eastAsia="zh-CN"/>
        </w:rPr>
      </w:pPr>
      <w:r>
        <w:rPr>
          <w:rFonts w:hint="eastAsia" w:ascii="楷体_GB2312" w:eastAsia="楷体_GB2312" w:cs="Times New Roman"/>
          <w:sz w:val="28"/>
        </w:rPr>
        <w:t xml:space="preserve">  </w:t>
      </w:r>
      <w:r>
        <w:rPr>
          <w:rFonts w:ascii="楷体_GB2312" w:eastAsia="楷体_GB2312" w:cs="Times New Roman"/>
          <w:sz w:val="28"/>
        </w:rPr>
        <w:t xml:space="preserve">                                   </w:t>
      </w:r>
      <w:r>
        <w:rPr>
          <w:rFonts w:hint="eastAsia" w:ascii="楷体_GB2312" w:eastAsia="楷体_GB2312" w:cs="Times New Roman"/>
          <w:sz w:val="28"/>
        </w:rPr>
        <w:t xml:space="preserve"> 中国注册会计师：</w:t>
      </w:r>
      <w:r>
        <w:rPr>
          <w:rFonts w:hint="eastAsia" w:ascii="楷体_GB2312" w:eastAsia="楷体_GB2312" w:cs="Times New Roman"/>
          <w:sz w:val="28"/>
          <w:lang w:eastAsia="zh-CN"/>
        </w:rPr>
        <w:t>张依为</w:t>
      </w:r>
    </w:p>
    <w:p>
      <w:pPr>
        <w:rPr>
          <w:rFonts w:ascii="楷体_GB2312" w:eastAsia="楷体_GB2312" w:cs="Times New Roman"/>
          <w:sz w:val="28"/>
          <w:szCs w:val="28"/>
        </w:rPr>
      </w:pPr>
      <w:r>
        <w:rPr>
          <w:rFonts w:hint="eastAsia" w:ascii="楷体_GB2312" w:eastAsia="楷体_GB2312" w:cs="Times New Roman"/>
          <w:sz w:val="28"/>
          <w:szCs w:val="28"/>
        </w:rPr>
        <w:t xml:space="preserve">         </w:t>
      </w:r>
      <w:r>
        <w:rPr>
          <w:rFonts w:ascii="楷体_GB2312" w:eastAsia="楷体_GB2312" w:cs="Times New Roman"/>
          <w:sz w:val="28"/>
          <w:szCs w:val="28"/>
        </w:rPr>
        <w:t xml:space="preserve">                             202</w:t>
      </w:r>
      <w:r>
        <w:rPr>
          <w:rFonts w:hint="eastAsia" w:ascii="楷体_GB2312" w:eastAsia="楷体_GB2312" w:cs="Times New Roman"/>
          <w:sz w:val="28"/>
          <w:szCs w:val="28"/>
        </w:rPr>
        <w:t>1年03月2</w:t>
      </w:r>
      <w:r>
        <w:rPr>
          <w:rFonts w:hint="eastAsia" w:ascii="楷体_GB2312" w:eastAsia="楷体_GB2312" w:cs="Times New Roman"/>
          <w:sz w:val="28"/>
          <w:szCs w:val="28"/>
          <w:lang w:val="en-US" w:eastAsia="zh-CN"/>
        </w:rPr>
        <w:t>6</w:t>
      </w:r>
      <w:r>
        <w:rPr>
          <w:rFonts w:hint="eastAsia" w:ascii="楷体_GB2312" w:eastAsia="楷体_GB2312" w:cs="Times New Roman"/>
          <w:sz w:val="28"/>
          <w:szCs w:val="28"/>
        </w:rPr>
        <w:t>日</w:t>
      </w: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sectPr>
      <w:headerReference r:id="rId4" w:type="first"/>
      <w:headerReference r:id="rId3" w:type="default"/>
      <w:footerReference r:id="rId5"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rPr>
      <w:t xml:space="preserve">                </w:t>
    </w:r>
    <w:r>
      <w:rPr>
        <w:rFonts w:hint="eastAsia"/>
        <w:lang w:val="en-US" w:eastAsia="zh-CN"/>
      </w:rPr>
      <w:t xml:space="preserve">        </w:t>
    </w:r>
    <w:r>
      <w:rPr>
        <w:rFonts w:hint="eastAsia"/>
      </w:rPr>
      <w:t>武汉市蔡甸区</w:t>
    </w:r>
    <w:r>
      <w:rPr>
        <w:rFonts w:hint="eastAsia"/>
        <w:lang w:eastAsia="zh-CN"/>
      </w:rPr>
      <w:t>人民政府办公室</w:t>
    </w:r>
    <w:r>
      <w:rPr>
        <w:rFonts w:hint="eastAsia"/>
      </w:rPr>
      <w:t>2020年度整体绩效评价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F8C01F"/>
    <w:multiLevelType w:val="singleLevel"/>
    <w:tmpl w:val="33F8C01F"/>
    <w:lvl w:ilvl="0" w:tentative="0">
      <w:start w:val="1"/>
      <w:numFmt w:val="decimal"/>
      <w:suff w:val="nothing"/>
      <w:lvlText w:val="（%1）"/>
      <w:lvlJc w:val="left"/>
    </w:lvl>
  </w:abstractNum>
  <w:abstractNum w:abstractNumId="1">
    <w:nsid w:val="7B84CAAD"/>
    <w:multiLevelType w:val="singleLevel"/>
    <w:tmpl w:val="7B84CAA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172A27"/>
    <w:rsid w:val="000134F5"/>
    <w:rsid w:val="0001416E"/>
    <w:rsid w:val="000228AD"/>
    <w:rsid w:val="00024911"/>
    <w:rsid w:val="00041E1D"/>
    <w:rsid w:val="00042071"/>
    <w:rsid w:val="00057E00"/>
    <w:rsid w:val="00063132"/>
    <w:rsid w:val="000A458B"/>
    <w:rsid w:val="000A574C"/>
    <w:rsid w:val="000B45B7"/>
    <w:rsid w:val="000C66A4"/>
    <w:rsid w:val="000D57AD"/>
    <w:rsid w:val="000D6133"/>
    <w:rsid w:val="000E28E4"/>
    <w:rsid w:val="000E5873"/>
    <w:rsid w:val="00107969"/>
    <w:rsid w:val="001142BF"/>
    <w:rsid w:val="00114706"/>
    <w:rsid w:val="0014225B"/>
    <w:rsid w:val="00147780"/>
    <w:rsid w:val="00172A27"/>
    <w:rsid w:val="001A410E"/>
    <w:rsid w:val="001B2B67"/>
    <w:rsid w:val="001B6EF0"/>
    <w:rsid w:val="001C2FD6"/>
    <w:rsid w:val="00203830"/>
    <w:rsid w:val="0020608E"/>
    <w:rsid w:val="002519E2"/>
    <w:rsid w:val="00257BF1"/>
    <w:rsid w:val="00286064"/>
    <w:rsid w:val="00294AB1"/>
    <w:rsid w:val="002A079B"/>
    <w:rsid w:val="002B1BB1"/>
    <w:rsid w:val="002D2B7C"/>
    <w:rsid w:val="002D4C5D"/>
    <w:rsid w:val="002D5404"/>
    <w:rsid w:val="002E3C6B"/>
    <w:rsid w:val="002E63C7"/>
    <w:rsid w:val="002F16D6"/>
    <w:rsid w:val="0032399F"/>
    <w:rsid w:val="00325353"/>
    <w:rsid w:val="003343B8"/>
    <w:rsid w:val="00336C38"/>
    <w:rsid w:val="00337D27"/>
    <w:rsid w:val="00344D5A"/>
    <w:rsid w:val="0037424C"/>
    <w:rsid w:val="003804D0"/>
    <w:rsid w:val="00386C40"/>
    <w:rsid w:val="003E74C6"/>
    <w:rsid w:val="00414521"/>
    <w:rsid w:val="0042261D"/>
    <w:rsid w:val="00426CA9"/>
    <w:rsid w:val="004541AD"/>
    <w:rsid w:val="00455005"/>
    <w:rsid w:val="004650D3"/>
    <w:rsid w:val="004678E9"/>
    <w:rsid w:val="00470975"/>
    <w:rsid w:val="00485081"/>
    <w:rsid w:val="00493B01"/>
    <w:rsid w:val="00495E7C"/>
    <w:rsid w:val="004B0254"/>
    <w:rsid w:val="004B3F73"/>
    <w:rsid w:val="004C3A1E"/>
    <w:rsid w:val="004D6D4E"/>
    <w:rsid w:val="004F010D"/>
    <w:rsid w:val="004F2ACB"/>
    <w:rsid w:val="004F762F"/>
    <w:rsid w:val="00502A23"/>
    <w:rsid w:val="00524578"/>
    <w:rsid w:val="00553EB9"/>
    <w:rsid w:val="005A1754"/>
    <w:rsid w:val="005C4980"/>
    <w:rsid w:val="005D6386"/>
    <w:rsid w:val="005E1FA3"/>
    <w:rsid w:val="005F303A"/>
    <w:rsid w:val="00613563"/>
    <w:rsid w:val="00623048"/>
    <w:rsid w:val="00625956"/>
    <w:rsid w:val="00631DAE"/>
    <w:rsid w:val="0063256C"/>
    <w:rsid w:val="00634B25"/>
    <w:rsid w:val="006435F4"/>
    <w:rsid w:val="00653E94"/>
    <w:rsid w:val="006701B7"/>
    <w:rsid w:val="00673226"/>
    <w:rsid w:val="0067644B"/>
    <w:rsid w:val="00681116"/>
    <w:rsid w:val="006923DB"/>
    <w:rsid w:val="006A4510"/>
    <w:rsid w:val="006B4C11"/>
    <w:rsid w:val="006D6C95"/>
    <w:rsid w:val="006F4CC0"/>
    <w:rsid w:val="007046B6"/>
    <w:rsid w:val="0070576B"/>
    <w:rsid w:val="007153CD"/>
    <w:rsid w:val="00722E99"/>
    <w:rsid w:val="007343B6"/>
    <w:rsid w:val="00736834"/>
    <w:rsid w:val="00756B50"/>
    <w:rsid w:val="00756C28"/>
    <w:rsid w:val="007707E7"/>
    <w:rsid w:val="00791FE5"/>
    <w:rsid w:val="00792155"/>
    <w:rsid w:val="007B427D"/>
    <w:rsid w:val="007B6CD0"/>
    <w:rsid w:val="007E50E9"/>
    <w:rsid w:val="007F165C"/>
    <w:rsid w:val="007F22D7"/>
    <w:rsid w:val="008034D0"/>
    <w:rsid w:val="00803606"/>
    <w:rsid w:val="00813198"/>
    <w:rsid w:val="008146AC"/>
    <w:rsid w:val="008304DD"/>
    <w:rsid w:val="00854B62"/>
    <w:rsid w:val="008578A8"/>
    <w:rsid w:val="00857F90"/>
    <w:rsid w:val="00882FE0"/>
    <w:rsid w:val="00893EDB"/>
    <w:rsid w:val="008942B8"/>
    <w:rsid w:val="008A232D"/>
    <w:rsid w:val="008C00AC"/>
    <w:rsid w:val="008C337F"/>
    <w:rsid w:val="008D1527"/>
    <w:rsid w:val="008D3BFC"/>
    <w:rsid w:val="008F241F"/>
    <w:rsid w:val="008F652E"/>
    <w:rsid w:val="00902AC4"/>
    <w:rsid w:val="009052AC"/>
    <w:rsid w:val="009106D3"/>
    <w:rsid w:val="0091574C"/>
    <w:rsid w:val="009279CA"/>
    <w:rsid w:val="00930966"/>
    <w:rsid w:val="00946964"/>
    <w:rsid w:val="00946FEE"/>
    <w:rsid w:val="00960AC7"/>
    <w:rsid w:val="00970976"/>
    <w:rsid w:val="00977212"/>
    <w:rsid w:val="0097789C"/>
    <w:rsid w:val="00985B5A"/>
    <w:rsid w:val="00986793"/>
    <w:rsid w:val="00992798"/>
    <w:rsid w:val="009970E1"/>
    <w:rsid w:val="009A0D2E"/>
    <w:rsid w:val="009E1402"/>
    <w:rsid w:val="00A003CE"/>
    <w:rsid w:val="00A0668E"/>
    <w:rsid w:val="00A070A4"/>
    <w:rsid w:val="00A12DD9"/>
    <w:rsid w:val="00A22F91"/>
    <w:rsid w:val="00A24593"/>
    <w:rsid w:val="00A2710D"/>
    <w:rsid w:val="00A32517"/>
    <w:rsid w:val="00A3507D"/>
    <w:rsid w:val="00A47CD9"/>
    <w:rsid w:val="00A63102"/>
    <w:rsid w:val="00A63886"/>
    <w:rsid w:val="00A65F3A"/>
    <w:rsid w:val="00A66B72"/>
    <w:rsid w:val="00A8055E"/>
    <w:rsid w:val="00A86EB9"/>
    <w:rsid w:val="00AD6443"/>
    <w:rsid w:val="00AE4EBB"/>
    <w:rsid w:val="00AF2750"/>
    <w:rsid w:val="00AF2A03"/>
    <w:rsid w:val="00AF3F58"/>
    <w:rsid w:val="00AF6C2E"/>
    <w:rsid w:val="00B0579A"/>
    <w:rsid w:val="00B06843"/>
    <w:rsid w:val="00B06A06"/>
    <w:rsid w:val="00B2214B"/>
    <w:rsid w:val="00B346B0"/>
    <w:rsid w:val="00B35644"/>
    <w:rsid w:val="00B42D0F"/>
    <w:rsid w:val="00B5274F"/>
    <w:rsid w:val="00B613A4"/>
    <w:rsid w:val="00B73F66"/>
    <w:rsid w:val="00B76299"/>
    <w:rsid w:val="00BD4EE4"/>
    <w:rsid w:val="00BF060A"/>
    <w:rsid w:val="00C020CA"/>
    <w:rsid w:val="00C239AA"/>
    <w:rsid w:val="00C33DB3"/>
    <w:rsid w:val="00C44658"/>
    <w:rsid w:val="00C45B86"/>
    <w:rsid w:val="00C4646E"/>
    <w:rsid w:val="00C60244"/>
    <w:rsid w:val="00C72AB2"/>
    <w:rsid w:val="00C75A50"/>
    <w:rsid w:val="00C80BCD"/>
    <w:rsid w:val="00CA25F7"/>
    <w:rsid w:val="00CA7F5A"/>
    <w:rsid w:val="00CD71EB"/>
    <w:rsid w:val="00CE6CC8"/>
    <w:rsid w:val="00CF5611"/>
    <w:rsid w:val="00D03723"/>
    <w:rsid w:val="00D212B6"/>
    <w:rsid w:val="00D37B04"/>
    <w:rsid w:val="00D421AA"/>
    <w:rsid w:val="00D44018"/>
    <w:rsid w:val="00D61E43"/>
    <w:rsid w:val="00D63DDB"/>
    <w:rsid w:val="00D65115"/>
    <w:rsid w:val="00D715FC"/>
    <w:rsid w:val="00D767D6"/>
    <w:rsid w:val="00D952BA"/>
    <w:rsid w:val="00DA4977"/>
    <w:rsid w:val="00DB592B"/>
    <w:rsid w:val="00DC126B"/>
    <w:rsid w:val="00DC1C2D"/>
    <w:rsid w:val="00DC669F"/>
    <w:rsid w:val="00DD5F70"/>
    <w:rsid w:val="00DF51E2"/>
    <w:rsid w:val="00E145E3"/>
    <w:rsid w:val="00E15A74"/>
    <w:rsid w:val="00E16C76"/>
    <w:rsid w:val="00E21DE7"/>
    <w:rsid w:val="00E23151"/>
    <w:rsid w:val="00E27F36"/>
    <w:rsid w:val="00E3293F"/>
    <w:rsid w:val="00E403F7"/>
    <w:rsid w:val="00E4459A"/>
    <w:rsid w:val="00E54366"/>
    <w:rsid w:val="00E641DA"/>
    <w:rsid w:val="00E67A92"/>
    <w:rsid w:val="00E92299"/>
    <w:rsid w:val="00E961A7"/>
    <w:rsid w:val="00EA4470"/>
    <w:rsid w:val="00EA54C9"/>
    <w:rsid w:val="00EB70BC"/>
    <w:rsid w:val="00EC2F9A"/>
    <w:rsid w:val="00ED2A3A"/>
    <w:rsid w:val="00EE10B1"/>
    <w:rsid w:val="00F0128E"/>
    <w:rsid w:val="00F36087"/>
    <w:rsid w:val="00F557FC"/>
    <w:rsid w:val="00F70D91"/>
    <w:rsid w:val="00F9457D"/>
    <w:rsid w:val="00FD66C9"/>
    <w:rsid w:val="00FF6431"/>
    <w:rsid w:val="01D068FD"/>
    <w:rsid w:val="04415E48"/>
    <w:rsid w:val="079456F0"/>
    <w:rsid w:val="09E64899"/>
    <w:rsid w:val="10124836"/>
    <w:rsid w:val="11484287"/>
    <w:rsid w:val="13897791"/>
    <w:rsid w:val="15D9448D"/>
    <w:rsid w:val="17D05480"/>
    <w:rsid w:val="19AF252B"/>
    <w:rsid w:val="1FB06213"/>
    <w:rsid w:val="20F44FC0"/>
    <w:rsid w:val="237C53D1"/>
    <w:rsid w:val="2913613D"/>
    <w:rsid w:val="294B4645"/>
    <w:rsid w:val="2AAD07FE"/>
    <w:rsid w:val="2C996B73"/>
    <w:rsid w:val="2E7D60D8"/>
    <w:rsid w:val="2F5F4B84"/>
    <w:rsid w:val="2F885E61"/>
    <w:rsid w:val="30657CF7"/>
    <w:rsid w:val="3492619E"/>
    <w:rsid w:val="37146A23"/>
    <w:rsid w:val="3A3C5A73"/>
    <w:rsid w:val="3B2F6752"/>
    <w:rsid w:val="3D5B7BA0"/>
    <w:rsid w:val="41523A37"/>
    <w:rsid w:val="41595082"/>
    <w:rsid w:val="417022C1"/>
    <w:rsid w:val="438E082F"/>
    <w:rsid w:val="469021EA"/>
    <w:rsid w:val="49517A55"/>
    <w:rsid w:val="49912B95"/>
    <w:rsid w:val="4B0069DD"/>
    <w:rsid w:val="4C425B23"/>
    <w:rsid w:val="4D227568"/>
    <w:rsid w:val="4F985219"/>
    <w:rsid w:val="4FF8681D"/>
    <w:rsid w:val="53172537"/>
    <w:rsid w:val="55E54A8E"/>
    <w:rsid w:val="5FC126D6"/>
    <w:rsid w:val="63270C78"/>
    <w:rsid w:val="65FD5F49"/>
    <w:rsid w:val="66174708"/>
    <w:rsid w:val="71C820CF"/>
    <w:rsid w:val="73AB7197"/>
    <w:rsid w:val="74986846"/>
    <w:rsid w:val="754F3AA2"/>
    <w:rsid w:val="760D0D1B"/>
    <w:rsid w:val="7E25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Date"/>
    <w:basedOn w:val="1"/>
    <w:next w:val="1"/>
    <w:link w:val="16"/>
    <w:semiHidden/>
    <w:unhideWhenUsed/>
    <w:qFormat/>
    <w:uiPriority w:val="99"/>
    <w:pPr>
      <w:ind w:left="1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10">
    <w:name w:val="Title"/>
    <w:basedOn w:val="1"/>
    <w:next w:val="1"/>
    <w:qFormat/>
    <w:uiPriority w:val="10"/>
    <w:pPr>
      <w:spacing w:before="240" w:after="60"/>
      <w:jc w:val="center"/>
      <w:outlineLvl w:val="0"/>
    </w:pPr>
    <w:rPr>
      <w:rFonts w:ascii="等线 Light" w:hAnsi="等线 Light" w:cs="Times New Roman"/>
      <w:b/>
      <w:bCs/>
      <w:sz w:val="32"/>
      <w:szCs w:val="32"/>
    </w:rPr>
  </w:style>
  <w:style w:type="character" w:styleId="13">
    <w:name w:val="Hyperlink"/>
    <w:basedOn w:val="12"/>
    <w:semiHidden/>
    <w:unhideWhenUsed/>
    <w:qFormat/>
    <w:uiPriority w:val="99"/>
    <w:rPr>
      <w:color w:val="0000FF"/>
      <w:u w:val="single"/>
    </w:rPr>
  </w:style>
  <w:style w:type="character" w:customStyle="1" w:styleId="14">
    <w:name w:val="标题 Char"/>
    <w:basedOn w:val="12"/>
    <w:qFormat/>
    <w:uiPriority w:val="0"/>
    <w:rPr>
      <w:rFonts w:ascii="Calibri" w:hAnsi="Calibri" w:eastAsia="宋体" w:cs="Arial"/>
      <w:b/>
      <w:bCs/>
      <w:sz w:val="32"/>
      <w:szCs w:val="32"/>
    </w:rPr>
  </w:style>
  <w:style w:type="paragraph" w:customStyle="1" w:styleId="15">
    <w:name w:val="列表段落1"/>
    <w:basedOn w:val="1"/>
    <w:qFormat/>
    <w:uiPriority w:val="0"/>
    <w:pPr>
      <w:ind w:firstLine="200" w:firstLineChars="200"/>
    </w:pPr>
  </w:style>
  <w:style w:type="character" w:customStyle="1" w:styleId="16">
    <w:name w:val="日期 Char"/>
    <w:basedOn w:val="12"/>
    <w:link w:val="5"/>
    <w:semiHidden/>
    <w:qFormat/>
    <w:uiPriority w:val="99"/>
    <w:rPr>
      <w:rFonts w:ascii="Calibri" w:hAnsi="Calibri" w:cs="Arial"/>
      <w:kern w:val="2"/>
      <w:sz w:val="21"/>
      <w:szCs w:val="22"/>
    </w:rPr>
  </w:style>
  <w:style w:type="paragraph" w:styleId="17">
    <w:name w:val="List Paragraph"/>
    <w:basedOn w:val="1"/>
    <w:unhideWhenUsed/>
    <w:qFormat/>
    <w:uiPriority w:val="99"/>
    <w:pPr>
      <w:ind w:firstLine="420" w:firstLineChars="200"/>
    </w:pPr>
  </w:style>
  <w:style w:type="character" w:customStyle="1" w:styleId="18">
    <w:name w:val="font7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2160</Words>
  <Characters>12316</Characters>
  <Lines>102</Lines>
  <Paragraphs>28</Paragraphs>
  <TotalTime>12</TotalTime>
  <ScaleCrop>false</ScaleCrop>
  <LinksUpToDate>false</LinksUpToDate>
  <CharactersWithSpaces>14448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2019-06-11T07:18:00Z</dcterms:created>
  <dc:creator>lenovo</dc:creator>
  <cp:lastModifiedBy>Administrator</cp:lastModifiedBy>
  <cp:lastPrinted>2021-03-29T03:42:11Z</cp:lastPrinted>
  <dcterms:modified xsi:type="dcterms:W3CDTF">2021-03-29T03:42:16Z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5D5F63B05168440A86EA901FC24852C6</vt:lpwstr>
  </property>
</Properties>
</file>