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9172D">
      <w:pPr>
        <w:spacing w:before="240" w:line="225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-7"/>
          <w:sz w:val="31"/>
          <w:szCs w:val="31"/>
        </w:rPr>
        <w:t>附件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1</w:t>
      </w:r>
    </w:p>
    <w:p w14:paraId="57E59FDB">
      <w:pPr>
        <w:pStyle w:val="2"/>
        <w:spacing w:line="261" w:lineRule="auto"/>
      </w:pPr>
    </w:p>
    <w:p w14:paraId="3BD2EA45">
      <w:pPr>
        <w:pStyle w:val="2"/>
        <w:spacing w:line="261" w:lineRule="auto"/>
      </w:pPr>
    </w:p>
    <w:p w14:paraId="54A8607B">
      <w:pPr>
        <w:pStyle w:val="2"/>
        <w:spacing w:line="261" w:lineRule="auto"/>
      </w:pPr>
    </w:p>
    <w:p w14:paraId="3B95BFC7">
      <w:pPr>
        <w:pStyle w:val="2"/>
        <w:spacing w:line="261" w:lineRule="auto"/>
      </w:pPr>
    </w:p>
    <w:p w14:paraId="594D93D9">
      <w:pPr>
        <w:pStyle w:val="2"/>
        <w:spacing w:line="261" w:lineRule="auto"/>
      </w:pPr>
    </w:p>
    <w:p w14:paraId="19F7706A">
      <w:pPr>
        <w:pStyle w:val="2"/>
        <w:spacing w:line="262" w:lineRule="auto"/>
      </w:pPr>
    </w:p>
    <w:p w14:paraId="773ADAC6">
      <w:pPr>
        <w:pStyle w:val="2"/>
        <w:spacing w:line="262" w:lineRule="auto"/>
      </w:pPr>
    </w:p>
    <w:p w14:paraId="11059465">
      <w:pPr>
        <w:pStyle w:val="2"/>
        <w:spacing w:line="262" w:lineRule="auto"/>
      </w:pPr>
    </w:p>
    <w:p w14:paraId="40C0A7F9">
      <w:pPr>
        <w:pStyle w:val="2"/>
        <w:spacing w:line="262" w:lineRule="auto"/>
      </w:pPr>
    </w:p>
    <w:p w14:paraId="24298354">
      <w:pPr>
        <w:pStyle w:val="2"/>
        <w:spacing w:line="262" w:lineRule="auto"/>
      </w:pPr>
    </w:p>
    <w:p w14:paraId="3B72DEE0">
      <w:pPr>
        <w:pStyle w:val="2"/>
        <w:spacing w:line="262" w:lineRule="auto"/>
      </w:pPr>
    </w:p>
    <w:p w14:paraId="309D0470">
      <w:pPr>
        <w:spacing w:before="153" w:line="290" w:lineRule="auto"/>
        <w:ind w:left="2759" w:right="930" w:hanging="1815"/>
        <w:outlineLvl w:val="0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4"/>
          <w:sz w:val="47"/>
          <w:szCs w:val="47"/>
        </w:rPr>
        <w:t>2021</w:t>
      </w:r>
      <w:r>
        <w:rPr>
          <w:rFonts w:ascii="黑体" w:hAnsi="黑体" w:eastAsia="黑体" w:cs="黑体"/>
          <w:spacing w:val="-86"/>
          <w:sz w:val="47"/>
          <w:szCs w:val="47"/>
        </w:rPr>
        <w:t xml:space="preserve"> </w:t>
      </w:r>
      <w:r>
        <w:rPr>
          <w:rFonts w:ascii="黑体" w:hAnsi="黑体" w:eastAsia="黑体" w:cs="黑体"/>
          <w:spacing w:val="4"/>
          <w:sz w:val="47"/>
          <w:szCs w:val="47"/>
        </w:rPr>
        <w:t>年度</w:t>
      </w:r>
      <w:r>
        <w:rPr>
          <w:rFonts w:ascii="黑体" w:hAnsi="黑体" w:eastAsia="黑体" w:cs="黑体"/>
          <w:spacing w:val="-90"/>
          <w:sz w:val="47"/>
          <w:szCs w:val="47"/>
        </w:rPr>
        <w:t xml:space="preserve"> </w:t>
      </w:r>
      <w:r>
        <w:rPr>
          <w:rFonts w:ascii="黑体" w:hAnsi="黑体" w:eastAsia="黑体" w:cs="黑体"/>
          <w:spacing w:val="4"/>
          <w:sz w:val="47"/>
          <w:szCs w:val="47"/>
        </w:rPr>
        <w:t>武汉市蔡甸区统计局</w:t>
      </w:r>
      <w:r>
        <w:rPr>
          <w:rFonts w:ascii="黑体" w:hAnsi="黑体" w:eastAsia="黑体" w:cs="黑体"/>
          <w:sz w:val="47"/>
          <w:szCs w:val="47"/>
        </w:rPr>
        <w:t xml:space="preserve"> </w:t>
      </w:r>
      <w:r>
        <w:rPr>
          <w:rFonts w:ascii="黑体" w:hAnsi="黑体" w:eastAsia="黑体" w:cs="黑体"/>
          <w:spacing w:val="4"/>
          <w:sz w:val="47"/>
          <w:szCs w:val="47"/>
        </w:rPr>
        <w:t>部门决算公开</w:t>
      </w:r>
    </w:p>
    <w:p w14:paraId="7B88C397">
      <w:pPr>
        <w:pStyle w:val="2"/>
        <w:spacing w:line="244" w:lineRule="auto"/>
      </w:pPr>
    </w:p>
    <w:p w14:paraId="190BD7DF">
      <w:pPr>
        <w:pStyle w:val="2"/>
        <w:spacing w:line="244" w:lineRule="auto"/>
      </w:pPr>
    </w:p>
    <w:p w14:paraId="0553454B">
      <w:pPr>
        <w:pStyle w:val="2"/>
        <w:spacing w:line="244" w:lineRule="auto"/>
      </w:pPr>
    </w:p>
    <w:p w14:paraId="3CDD8094">
      <w:pPr>
        <w:pStyle w:val="2"/>
        <w:spacing w:line="244" w:lineRule="auto"/>
      </w:pPr>
    </w:p>
    <w:p w14:paraId="5D3789D3">
      <w:pPr>
        <w:pStyle w:val="2"/>
        <w:spacing w:line="244" w:lineRule="auto"/>
      </w:pPr>
    </w:p>
    <w:p w14:paraId="15D40444">
      <w:pPr>
        <w:pStyle w:val="2"/>
        <w:spacing w:line="244" w:lineRule="auto"/>
      </w:pPr>
    </w:p>
    <w:p w14:paraId="06C8DEEF">
      <w:pPr>
        <w:pStyle w:val="2"/>
        <w:spacing w:line="244" w:lineRule="auto"/>
      </w:pPr>
    </w:p>
    <w:p w14:paraId="7C87DB1E">
      <w:pPr>
        <w:pStyle w:val="2"/>
        <w:spacing w:line="244" w:lineRule="auto"/>
      </w:pPr>
    </w:p>
    <w:p w14:paraId="3B4A39BE">
      <w:pPr>
        <w:pStyle w:val="2"/>
        <w:spacing w:line="244" w:lineRule="auto"/>
      </w:pPr>
    </w:p>
    <w:p w14:paraId="12BA021F">
      <w:pPr>
        <w:pStyle w:val="2"/>
        <w:spacing w:line="245" w:lineRule="auto"/>
      </w:pPr>
    </w:p>
    <w:p w14:paraId="341F717A">
      <w:pPr>
        <w:pStyle w:val="2"/>
        <w:spacing w:line="245" w:lineRule="auto"/>
      </w:pPr>
    </w:p>
    <w:p w14:paraId="64C11894">
      <w:pPr>
        <w:pStyle w:val="2"/>
        <w:spacing w:line="245" w:lineRule="auto"/>
      </w:pPr>
    </w:p>
    <w:p w14:paraId="4AFD8E55">
      <w:pPr>
        <w:pStyle w:val="2"/>
        <w:spacing w:line="245" w:lineRule="auto"/>
      </w:pPr>
    </w:p>
    <w:p w14:paraId="6613FA62">
      <w:pPr>
        <w:pStyle w:val="2"/>
        <w:spacing w:line="245" w:lineRule="auto"/>
      </w:pPr>
    </w:p>
    <w:p w14:paraId="12C414CD">
      <w:pPr>
        <w:pStyle w:val="2"/>
        <w:spacing w:line="245" w:lineRule="auto"/>
      </w:pPr>
    </w:p>
    <w:p w14:paraId="3F48C8E2">
      <w:pPr>
        <w:pStyle w:val="2"/>
        <w:spacing w:line="245" w:lineRule="auto"/>
      </w:pPr>
    </w:p>
    <w:p w14:paraId="1FAD1D69">
      <w:pPr>
        <w:pStyle w:val="2"/>
        <w:spacing w:line="245" w:lineRule="auto"/>
      </w:pPr>
    </w:p>
    <w:p w14:paraId="62C38D6A">
      <w:pPr>
        <w:pStyle w:val="2"/>
        <w:spacing w:line="245" w:lineRule="auto"/>
      </w:pPr>
    </w:p>
    <w:p w14:paraId="18FC8706">
      <w:pPr>
        <w:pStyle w:val="2"/>
        <w:spacing w:line="245" w:lineRule="auto"/>
      </w:pPr>
    </w:p>
    <w:p w14:paraId="6F5D3A4A">
      <w:pPr>
        <w:pStyle w:val="2"/>
        <w:spacing w:line="245" w:lineRule="auto"/>
      </w:pPr>
    </w:p>
    <w:p w14:paraId="51A0A49D">
      <w:pPr>
        <w:pStyle w:val="2"/>
        <w:spacing w:line="245" w:lineRule="auto"/>
      </w:pPr>
    </w:p>
    <w:p w14:paraId="41FC126B">
      <w:pPr>
        <w:pStyle w:val="2"/>
        <w:spacing w:line="245" w:lineRule="auto"/>
      </w:pPr>
    </w:p>
    <w:p w14:paraId="309A92C4">
      <w:pPr>
        <w:pStyle w:val="2"/>
        <w:spacing w:line="245" w:lineRule="auto"/>
      </w:pPr>
    </w:p>
    <w:p w14:paraId="6411E69E">
      <w:pPr>
        <w:pStyle w:val="2"/>
        <w:spacing w:line="245" w:lineRule="auto"/>
      </w:pPr>
    </w:p>
    <w:p w14:paraId="39F93933">
      <w:pPr>
        <w:pStyle w:val="2"/>
        <w:spacing w:line="245" w:lineRule="auto"/>
      </w:pPr>
    </w:p>
    <w:p w14:paraId="1C55BA78">
      <w:pPr>
        <w:pStyle w:val="2"/>
        <w:spacing w:line="245" w:lineRule="auto"/>
      </w:pPr>
    </w:p>
    <w:p w14:paraId="3B31D766">
      <w:pPr>
        <w:pStyle w:val="2"/>
        <w:spacing w:line="245" w:lineRule="auto"/>
      </w:pPr>
    </w:p>
    <w:p w14:paraId="43B8E04C">
      <w:pPr>
        <w:pStyle w:val="2"/>
        <w:spacing w:line="245" w:lineRule="auto"/>
      </w:pPr>
    </w:p>
    <w:p w14:paraId="7928B69C">
      <w:pPr>
        <w:pStyle w:val="2"/>
        <w:spacing w:line="245" w:lineRule="auto"/>
      </w:pPr>
    </w:p>
    <w:p w14:paraId="03AF80A6">
      <w:pPr>
        <w:pStyle w:val="2"/>
        <w:spacing w:line="245" w:lineRule="auto"/>
      </w:pPr>
    </w:p>
    <w:p w14:paraId="37F50FDC">
      <w:pPr>
        <w:pStyle w:val="2"/>
        <w:spacing w:line="245" w:lineRule="auto"/>
      </w:pPr>
    </w:p>
    <w:p w14:paraId="73211BAA">
      <w:pPr>
        <w:spacing w:before="101" w:line="225" w:lineRule="auto"/>
        <w:ind w:left="2864"/>
        <w:rPr>
          <w:rFonts w:ascii="宋体" w:hAnsi="宋体" w:eastAsia="宋体" w:cs="宋体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年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10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月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18 </w:t>
      </w:r>
      <w:r>
        <w:rPr>
          <w:rFonts w:ascii="宋体" w:hAnsi="宋体" w:eastAsia="宋体" w:cs="宋体"/>
          <w:spacing w:val="-6"/>
          <w:sz w:val="31"/>
          <w:szCs w:val="31"/>
        </w:rPr>
        <w:t>日</w:t>
      </w:r>
    </w:p>
    <w:p w14:paraId="78403D85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07106503">
      <w:pPr>
        <w:pStyle w:val="2"/>
        <w:spacing w:line="257" w:lineRule="auto"/>
      </w:pPr>
    </w:p>
    <w:p w14:paraId="002E30AD">
      <w:pPr>
        <w:pStyle w:val="2"/>
        <w:spacing w:line="257" w:lineRule="auto"/>
      </w:pPr>
    </w:p>
    <w:p w14:paraId="58AB27AF">
      <w:pPr>
        <w:spacing w:before="153" w:line="226" w:lineRule="auto"/>
        <w:ind w:left="3288"/>
        <w:outlineLvl w:val="0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-35"/>
          <w:sz w:val="47"/>
          <w:szCs w:val="47"/>
        </w:rPr>
        <w:t>目</w:t>
      </w:r>
      <w:r>
        <w:rPr>
          <w:rFonts w:ascii="黑体" w:hAnsi="黑体" w:eastAsia="黑体" w:cs="黑体"/>
          <w:spacing w:val="10"/>
          <w:sz w:val="47"/>
          <w:szCs w:val="47"/>
        </w:rPr>
        <w:t xml:space="preserve">    </w:t>
      </w:r>
      <w:r>
        <w:rPr>
          <w:rFonts w:ascii="黑体" w:hAnsi="黑体" w:eastAsia="黑体" w:cs="黑体"/>
          <w:spacing w:val="-35"/>
          <w:sz w:val="47"/>
          <w:szCs w:val="47"/>
        </w:rPr>
        <w:t>录</w:t>
      </w:r>
    </w:p>
    <w:p w14:paraId="28BC2102">
      <w:pPr>
        <w:pStyle w:val="2"/>
        <w:spacing w:line="368" w:lineRule="auto"/>
      </w:pPr>
    </w:p>
    <w:p w14:paraId="5465674C">
      <w:pPr>
        <w:spacing w:before="101" w:line="226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第一部分  武汉市蔡甸区统计局概况</w:t>
      </w:r>
    </w:p>
    <w:p w14:paraId="53D062A6">
      <w:pPr>
        <w:pStyle w:val="2"/>
        <w:spacing w:line="379" w:lineRule="auto"/>
      </w:pPr>
    </w:p>
    <w:p w14:paraId="27610F8A"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一、部门主要职能</w:t>
      </w:r>
    </w:p>
    <w:p w14:paraId="27EB596B">
      <w:pPr>
        <w:pStyle w:val="2"/>
        <w:spacing w:line="378" w:lineRule="auto"/>
      </w:pPr>
    </w:p>
    <w:p w14:paraId="3FD6662C"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二、部门决算单位构成</w:t>
      </w:r>
    </w:p>
    <w:p w14:paraId="586EE0B9">
      <w:pPr>
        <w:pStyle w:val="2"/>
        <w:spacing w:line="378" w:lineRule="auto"/>
      </w:pPr>
    </w:p>
    <w:p w14:paraId="5E85AECD">
      <w:pPr>
        <w:spacing w:before="101" w:line="225" w:lineRule="auto"/>
        <w:ind w:left="66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三、部门人员构成</w:t>
      </w:r>
    </w:p>
    <w:p w14:paraId="404BAA25">
      <w:pPr>
        <w:pStyle w:val="2"/>
        <w:spacing w:line="380" w:lineRule="auto"/>
      </w:pPr>
    </w:p>
    <w:p w14:paraId="65A7C13E">
      <w:pPr>
        <w:spacing w:before="101" w:line="226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第二部分  武汉市蔡甸区统计局</w:t>
      </w:r>
      <w:r>
        <w:rPr>
          <w:rFonts w:ascii="黑体" w:hAnsi="黑体" w:eastAsia="黑体" w:cs="黑体"/>
          <w:spacing w:val="-56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2021</w:t>
      </w:r>
      <w:r>
        <w:rPr>
          <w:rFonts w:ascii="黑体" w:hAnsi="黑体" w:eastAsia="黑体" w:cs="黑体"/>
          <w:spacing w:val="-6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年度部门决算表</w:t>
      </w:r>
    </w:p>
    <w:p w14:paraId="3C77FDF6">
      <w:pPr>
        <w:pStyle w:val="2"/>
        <w:spacing w:line="376" w:lineRule="auto"/>
      </w:pPr>
    </w:p>
    <w:p w14:paraId="5F5042AC">
      <w:pPr>
        <w:spacing w:before="100" w:line="581" w:lineRule="exact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19"/>
          <w:sz w:val="31"/>
          <w:szCs w:val="31"/>
        </w:rPr>
        <w:t>第三部分  武汉市蔡甸区统计局</w:t>
      </w:r>
      <w:r>
        <w:rPr>
          <w:rFonts w:ascii="黑体" w:hAnsi="黑体" w:eastAsia="黑体" w:cs="黑体"/>
          <w:spacing w:val="-56"/>
          <w:position w:val="1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position w:val="19"/>
          <w:sz w:val="31"/>
          <w:szCs w:val="31"/>
        </w:rPr>
        <w:t>2021</w:t>
      </w:r>
      <w:r>
        <w:rPr>
          <w:rFonts w:ascii="黑体" w:hAnsi="黑体" w:eastAsia="黑体" w:cs="黑体"/>
          <w:spacing w:val="-61"/>
          <w:position w:val="1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position w:val="19"/>
          <w:sz w:val="31"/>
          <w:szCs w:val="31"/>
        </w:rPr>
        <w:t>年度部门决算情</w:t>
      </w:r>
    </w:p>
    <w:p w14:paraId="42A662F9">
      <w:pPr>
        <w:spacing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况说明</w:t>
      </w:r>
    </w:p>
    <w:p w14:paraId="4526E921">
      <w:pPr>
        <w:pStyle w:val="2"/>
        <w:spacing w:line="376" w:lineRule="auto"/>
      </w:pPr>
    </w:p>
    <w:p w14:paraId="1DAA3C12"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一、收入支出决算总体情况说明</w:t>
      </w:r>
    </w:p>
    <w:p w14:paraId="054053F3">
      <w:pPr>
        <w:pStyle w:val="2"/>
        <w:spacing w:line="378" w:lineRule="auto"/>
      </w:pPr>
    </w:p>
    <w:p w14:paraId="31E72D5B"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二、收入决算情况说明</w:t>
      </w:r>
    </w:p>
    <w:p w14:paraId="29395F56">
      <w:pPr>
        <w:pStyle w:val="2"/>
        <w:spacing w:line="380" w:lineRule="auto"/>
      </w:pPr>
    </w:p>
    <w:p w14:paraId="25334264">
      <w:pPr>
        <w:spacing w:before="102" w:line="225" w:lineRule="auto"/>
        <w:ind w:left="66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三、支出决算情况说明</w:t>
      </w:r>
    </w:p>
    <w:p w14:paraId="54022B10">
      <w:pPr>
        <w:pStyle w:val="2"/>
        <w:spacing w:line="378" w:lineRule="auto"/>
      </w:pPr>
    </w:p>
    <w:p w14:paraId="6F26A30A">
      <w:pPr>
        <w:spacing w:before="101" w:line="225" w:lineRule="auto"/>
        <w:ind w:left="69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四、财政拨款收入支出决算总体情况说明</w:t>
      </w:r>
    </w:p>
    <w:p w14:paraId="2BA2C061">
      <w:pPr>
        <w:pStyle w:val="2"/>
        <w:spacing w:line="378" w:lineRule="auto"/>
      </w:pPr>
    </w:p>
    <w:p w14:paraId="19F6C763"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五、一般公共预算财政拨款支出决算情况说明</w:t>
      </w:r>
    </w:p>
    <w:p w14:paraId="4C446CDA">
      <w:pPr>
        <w:pStyle w:val="2"/>
        <w:spacing w:line="379" w:lineRule="auto"/>
      </w:pPr>
    </w:p>
    <w:p w14:paraId="62C13621">
      <w:pPr>
        <w:spacing w:before="101" w:line="225" w:lineRule="auto"/>
        <w:ind w:left="66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六、一般公共预算财政拨款基本支出决算情况说明</w:t>
      </w:r>
    </w:p>
    <w:p w14:paraId="6EA5B45F">
      <w:pPr>
        <w:pStyle w:val="2"/>
        <w:spacing w:line="378" w:lineRule="auto"/>
      </w:pPr>
    </w:p>
    <w:p w14:paraId="515C34FB">
      <w:pPr>
        <w:spacing w:before="102" w:line="581" w:lineRule="exact"/>
        <w:ind w:right="14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0"/>
          <w:position w:val="19"/>
          <w:sz w:val="31"/>
          <w:szCs w:val="31"/>
        </w:rPr>
        <w:t>七、一般公共预算财政拨款</w:t>
      </w:r>
      <w:r>
        <w:rPr>
          <w:rFonts w:hint="eastAsia" w:ascii="宋体" w:hAnsi="宋体" w:eastAsia="宋体" w:cs="宋体"/>
          <w:spacing w:val="20"/>
          <w:position w:val="19"/>
          <w:sz w:val="31"/>
          <w:szCs w:val="31"/>
          <w:lang w:eastAsia="zh-CN"/>
        </w:rPr>
        <w:t>“三公”经费</w:t>
      </w:r>
      <w:r>
        <w:rPr>
          <w:rFonts w:ascii="宋体" w:hAnsi="宋体" w:eastAsia="宋体" w:cs="宋体"/>
          <w:spacing w:val="20"/>
          <w:position w:val="19"/>
          <w:sz w:val="31"/>
          <w:szCs w:val="31"/>
        </w:rPr>
        <w:t>支出决算情</w:t>
      </w:r>
    </w:p>
    <w:p w14:paraId="3D8FDAFD">
      <w:pPr>
        <w:spacing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况说明</w:t>
      </w:r>
    </w:p>
    <w:p w14:paraId="3C0BEF9A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25A2264E">
      <w:pPr>
        <w:spacing w:before="221" w:line="860" w:lineRule="exact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42"/>
          <w:sz w:val="31"/>
          <w:szCs w:val="31"/>
        </w:rPr>
        <w:t>八、政府性基金预算财政拨款收入支出决算情况说明</w:t>
      </w:r>
    </w:p>
    <w:p w14:paraId="0BB2BE04">
      <w:pPr>
        <w:spacing w:before="1" w:line="224" w:lineRule="auto"/>
        <w:ind w:left="67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九、国有资本经营预算财政拨款支出决算情况说明</w:t>
      </w:r>
    </w:p>
    <w:p w14:paraId="1EC1CDC6">
      <w:pPr>
        <w:pStyle w:val="2"/>
        <w:spacing w:line="380" w:lineRule="auto"/>
      </w:pPr>
    </w:p>
    <w:p w14:paraId="75BC0EE5">
      <w:pPr>
        <w:spacing w:before="101" w:line="225" w:lineRule="auto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十、机关运行经费支出说明</w:t>
      </w:r>
    </w:p>
    <w:p w14:paraId="5E5DF40F">
      <w:pPr>
        <w:pStyle w:val="2"/>
        <w:spacing w:line="378" w:lineRule="auto"/>
      </w:pPr>
    </w:p>
    <w:p w14:paraId="1DC35169">
      <w:pPr>
        <w:spacing w:before="101" w:line="225" w:lineRule="auto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十一、政府采购支出说明</w:t>
      </w:r>
    </w:p>
    <w:p w14:paraId="6B90D7BC">
      <w:pPr>
        <w:pStyle w:val="2"/>
        <w:spacing w:line="378" w:lineRule="auto"/>
      </w:pPr>
    </w:p>
    <w:p w14:paraId="42C973E4">
      <w:pPr>
        <w:spacing w:before="101" w:line="862" w:lineRule="exact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42"/>
          <w:sz w:val="31"/>
          <w:szCs w:val="31"/>
        </w:rPr>
        <w:t>十二、国有资产占用情况说明</w:t>
      </w:r>
    </w:p>
    <w:p w14:paraId="6E6550B7">
      <w:pPr>
        <w:spacing w:line="225" w:lineRule="auto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十三、预算绩效情况说明</w:t>
      </w:r>
    </w:p>
    <w:p w14:paraId="34FA4039">
      <w:pPr>
        <w:spacing w:before="174"/>
      </w:pPr>
    </w:p>
    <w:p w14:paraId="42359E73">
      <w:pPr>
        <w:sectPr>
          <w:pgSz w:w="11915" w:h="16851"/>
          <w:pgMar w:top="1432" w:right="1787" w:bottom="0" w:left="1787" w:header="0" w:footer="0" w:gutter="0"/>
          <w:cols w:equalWidth="0" w:num="1">
            <w:col w:w="8341"/>
          </w:cols>
        </w:sectPr>
      </w:pPr>
    </w:p>
    <w:p w14:paraId="5F88BF98">
      <w:pPr>
        <w:spacing w:before="66" w:line="512" w:lineRule="auto"/>
        <w:ind w:left="665" w:right="229"/>
        <w:jc w:val="both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第四部分</w:t>
      </w:r>
      <w:r>
        <w:rPr>
          <w:rFonts w:ascii="黑体" w:hAnsi="黑体" w:eastAsia="黑体" w:cs="黑体"/>
          <w:spacing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6"/>
          <w:sz w:val="31"/>
          <w:szCs w:val="31"/>
        </w:rPr>
        <w:t>第五部分</w:t>
      </w:r>
    </w:p>
    <w:p w14:paraId="51DC3106">
      <w:pPr>
        <w:spacing w:before="1" w:line="192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第六部分</w:t>
      </w:r>
    </w:p>
    <w:p w14:paraId="7F0DB602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B9B4F25">
      <w:pPr>
        <w:spacing w:before="63" w:line="859" w:lineRule="exact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41"/>
          <w:sz w:val="31"/>
          <w:szCs w:val="31"/>
        </w:rPr>
        <w:t>2021</w:t>
      </w:r>
      <w:r>
        <w:rPr>
          <w:rFonts w:ascii="黑体" w:hAnsi="黑体" w:eastAsia="黑体" w:cs="黑体"/>
          <w:spacing w:val="-55"/>
          <w:position w:val="4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6"/>
          <w:position w:val="41"/>
          <w:sz w:val="31"/>
          <w:szCs w:val="31"/>
        </w:rPr>
        <w:t>年重点工作完成情况</w:t>
      </w:r>
    </w:p>
    <w:p w14:paraId="50614B15">
      <w:pPr>
        <w:spacing w:before="1" w:line="227" w:lineRule="auto"/>
        <w:ind w:left="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名词解释</w:t>
      </w:r>
    </w:p>
    <w:p w14:paraId="4111F9E5">
      <w:pPr>
        <w:pStyle w:val="2"/>
        <w:spacing w:line="375" w:lineRule="auto"/>
      </w:pPr>
    </w:p>
    <w:p w14:paraId="2AEEE91E">
      <w:pPr>
        <w:spacing w:before="102" w:line="193" w:lineRule="auto"/>
        <w:ind w:left="2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附件</w:t>
      </w:r>
    </w:p>
    <w:p w14:paraId="3C6AD334">
      <w:pPr>
        <w:spacing w:line="193" w:lineRule="auto"/>
        <w:rPr>
          <w:rFonts w:ascii="黑体" w:hAnsi="黑体" w:eastAsia="黑体" w:cs="黑体"/>
          <w:sz w:val="31"/>
          <w:szCs w:val="31"/>
        </w:rPr>
        <w:sectPr>
          <w:type w:val="continuous"/>
          <w:pgSz w:w="11915" w:h="16851"/>
          <w:pgMar w:top="1432" w:right="1787" w:bottom="0" w:left="1787" w:header="0" w:footer="0" w:gutter="0"/>
          <w:cols w:equalWidth="0" w:num="2">
            <w:col w:w="2162" w:space="100"/>
            <w:col w:w="6079"/>
          </w:cols>
        </w:sectPr>
      </w:pPr>
    </w:p>
    <w:p w14:paraId="412A6787">
      <w:pPr>
        <w:spacing w:before="96" w:line="224" w:lineRule="auto"/>
        <w:ind w:left="333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10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第一部分</w:t>
      </w:r>
      <w:r>
        <w:rPr>
          <w:rFonts w:ascii="宋体" w:hAnsi="宋体" w:eastAsia="宋体" w:cs="宋体"/>
          <w:spacing w:val="10"/>
          <w:sz w:val="47"/>
          <w:szCs w:val="47"/>
        </w:rPr>
        <w:t xml:space="preserve">  </w:t>
      </w:r>
      <w:r>
        <w:rPr>
          <w:rFonts w:ascii="宋体" w:hAnsi="宋体" w:eastAsia="宋体" w:cs="宋体"/>
          <w:spacing w:val="10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武汉市蔡甸区统计局概况</w:t>
      </w:r>
    </w:p>
    <w:p w14:paraId="271A15B5">
      <w:pPr>
        <w:pStyle w:val="2"/>
        <w:spacing w:line="374" w:lineRule="auto"/>
      </w:pPr>
    </w:p>
    <w:p w14:paraId="3D895EA4">
      <w:pPr>
        <w:spacing w:before="100" w:line="228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一、部门主要职能</w:t>
      </w:r>
    </w:p>
    <w:p w14:paraId="0D021414">
      <w:pPr>
        <w:pStyle w:val="2"/>
        <w:spacing w:line="374" w:lineRule="auto"/>
      </w:pPr>
    </w:p>
    <w:p w14:paraId="45B4F638">
      <w:pPr>
        <w:spacing w:before="101" w:line="345" w:lineRule="auto"/>
        <w:ind w:left="32" w:right="14" w:firstLine="65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1、贯彻执行国家、省、市有关统计的方针、政策和法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律法规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、地方性规章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；制定并组织实施全区统计发展规</w:t>
      </w:r>
    </w:p>
    <w:p w14:paraId="6CC9A2BC">
      <w:pPr>
        <w:spacing w:before="1" w:line="225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划、基本统计制度和统计标准，指导全区统计工作。</w:t>
      </w:r>
    </w:p>
    <w:p w14:paraId="15189443">
      <w:pPr>
        <w:pStyle w:val="2"/>
        <w:spacing w:line="380" w:lineRule="auto"/>
      </w:pPr>
    </w:p>
    <w:p w14:paraId="1202D519">
      <w:pPr>
        <w:spacing w:before="100" w:line="345" w:lineRule="auto"/>
        <w:ind w:left="32" w:right="14" w:firstLine="63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2、按照国家国民经济核算体系和统计方法制度，组织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核算全区生产总值和组织投入产出调查，搜集、整理和提</w:t>
      </w:r>
    </w:p>
    <w:p w14:paraId="4E649C20">
      <w:pPr>
        <w:spacing w:before="1" w:line="225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供全区国民经济核算有关资料。</w:t>
      </w:r>
    </w:p>
    <w:p w14:paraId="48C8A609">
      <w:pPr>
        <w:pStyle w:val="2"/>
        <w:spacing w:line="379" w:lineRule="auto"/>
      </w:pPr>
    </w:p>
    <w:p w14:paraId="7D622443">
      <w:pPr>
        <w:spacing w:before="101" w:line="345" w:lineRule="auto"/>
        <w:ind w:left="36" w:right="14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3、按照国家周期性普查制度，会同有关部门组织实施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全区人口普查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、经济普查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、农业普查等重大国情国力普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查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汇总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、整理和提供全区有关国情国力方面的统计数</w:t>
      </w:r>
    </w:p>
    <w:p w14:paraId="42408E61">
      <w:pPr>
        <w:spacing w:before="1" w:line="228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据。</w:t>
      </w:r>
    </w:p>
    <w:p w14:paraId="62A71602">
      <w:pPr>
        <w:pStyle w:val="2"/>
        <w:spacing w:line="378" w:lineRule="auto"/>
      </w:pPr>
    </w:p>
    <w:p w14:paraId="4E87CFB4">
      <w:pPr>
        <w:spacing w:before="101" w:line="345" w:lineRule="auto"/>
        <w:ind w:left="32" w:right="14"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4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、组织实施全区农业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、工业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、建筑业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、批发和零售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业、住宿和餐饮业、房地产业、租赁和商务服务业、居民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服务和其他服务业、仓储业、计算机服务业、软件业、科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技交流和推广服务业、社会福利业等统计调查，搜集、汇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总、整理和提供有关调查的统计数据，综合整理和提供交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通运输、教育、卫生、社会保障、公共事业等全区性基本</w:t>
      </w:r>
    </w:p>
    <w:p w14:paraId="4C384C37">
      <w:pPr>
        <w:spacing w:before="2"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统计数据。</w:t>
      </w:r>
    </w:p>
    <w:p w14:paraId="782D7003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14" w:right="1787" w:bottom="0" w:left="1787" w:header="0" w:footer="0" w:gutter="0"/>
          <w:cols w:space="720" w:num="1"/>
        </w:sectPr>
      </w:pPr>
    </w:p>
    <w:p w14:paraId="3FFDAFD6">
      <w:pPr>
        <w:spacing w:before="222" w:line="345" w:lineRule="auto"/>
        <w:ind w:left="37" w:right="14" w:firstLine="63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5、组织实施全区能源、投资、收入、科技、人口与劳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动力、社会发展基本情况等统计调查，收集、汇总、整理</w:t>
      </w:r>
    </w:p>
    <w:p w14:paraId="6F86CFF2"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和提供有关调查的统计数据。</w:t>
      </w:r>
    </w:p>
    <w:p w14:paraId="3E0527E0">
      <w:pPr>
        <w:pStyle w:val="2"/>
        <w:spacing w:line="378" w:lineRule="auto"/>
      </w:pPr>
    </w:p>
    <w:p w14:paraId="53F7AA9D">
      <w:pPr>
        <w:spacing w:before="100" w:line="345" w:lineRule="auto"/>
        <w:ind w:left="33" w:right="14" w:firstLine="63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6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、定期发布全区国民经济和社会发展情况</w:t>
      </w:r>
      <w:r>
        <w:rPr>
          <w:rFonts w:ascii="仿宋" w:hAnsi="仿宋" w:eastAsia="仿宋" w:cs="仿宋"/>
          <w:spacing w:val="26"/>
          <w:sz w:val="31"/>
          <w:szCs w:val="31"/>
        </w:rPr>
        <w:t>的统计信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息，统一核定和管理全区性基本统计资料；加强对全区统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计信息发布的规范管理，建立健全统计信息共享制度和发</w:t>
      </w:r>
    </w:p>
    <w:p w14:paraId="4F8ED1D4"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布制度。</w:t>
      </w:r>
    </w:p>
    <w:p w14:paraId="2F811018">
      <w:pPr>
        <w:pStyle w:val="2"/>
        <w:spacing w:line="377" w:lineRule="auto"/>
      </w:pPr>
    </w:p>
    <w:p w14:paraId="7C571D22">
      <w:pPr>
        <w:spacing w:before="101" w:line="345" w:lineRule="auto"/>
        <w:ind w:left="36" w:right="14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7、对全区的国民经济、社会发展和科技进步等情况，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进行统计分析、统计预测和统计监督，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向区委、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区人民政</w:t>
      </w:r>
    </w:p>
    <w:p w14:paraId="7CBFC67A"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府及有关部门提供统计信息和咨询建议。</w:t>
      </w:r>
    </w:p>
    <w:p w14:paraId="6DC61D18">
      <w:pPr>
        <w:pStyle w:val="2"/>
        <w:spacing w:line="378" w:lineRule="auto"/>
      </w:pPr>
    </w:p>
    <w:p w14:paraId="18049553">
      <w:pPr>
        <w:spacing w:before="101" w:line="345" w:lineRule="auto"/>
        <w:ind w:left="33" w:right="14" w:firstLine="63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8、管理区内部门统计标准，依法审批或备案各部门统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计调查项目、地方统计调查项目。指导管理各街乡镇、各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部门的统计调查计划、调查方案、统计基础工作及基层业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务建设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；对全区经济和社会发展的重要统计数据进行审</w:t>
      </w:r>
    </w:p>
    <w:p w14:paraId="0FFDABCB">
      <w:pPr>
        <w:spacing w:before="1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核、监控和评估制度。</w:t>
      </w:r>
    </w:p>
    <w:p w14:paraId="1566E72E">
      <w:pPr>
        <w:pStyle w:val="2"/>
        <w:spacing w:line="379" w:lineRule="auto"/>
      </w:pPr>
    </w:p>
    <w:p w14:paraId="05192B37">
      <w:pPr>
        <w:spacing w:before="101" w:line="579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9、指导全区统计专业技术队伍建设，会同有关部门组</w:t>
      </w:r>
    </w:p>
    <w:p w14:paraId="63D6F58E">
      <w:pPr>
        <w:spacing w:before="1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织管理全区统计专业资格考试和从业资格认定。</w:t>
      </w:r>
    </w:p>
    <w:p w14:paraId="6CC5E26C">
      <w:pPr>
        <w:pStyle w:val="2"/>
        <w:spacing w:line="378" w:lineRule="auto"/>
      </w:pPr>
    </w:p>
    <w:p w14:paraId="339CF44C">
      <w:pPr>
        <w:spacing w:before="101" w:line="345" w:lineRule="auto"/>
        <w:ind w:left="35" w:right="14" w:firstLine="65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10、建立并管理全区统计信息自动化系统和统计数据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库系统，建立和维护全区基本单位名录库，贯彻执行国家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制定的统计数据库和网络的基本标准及运行规则；组织实</w:t>
      </w:r>
    </w:p>
    <w:p w14:paraId="75394DFF">
      <w:pPr>
        <w:spacing w:before="1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施《统计法》宣传教育和统计执法工作。</w:t>
      </w:r>
    </w:p>
    <w:p w14:paraId="0E747D96"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1BAB7258">
      <w:pPr>
        <w:spacing w:before="221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二、部门决算单位构成</w:t>
      </w:r>
    </w:p>
    <w:p w14:paraId="7D02EB9C">
      <w:pPr>
        <w:pStyle w:val="2"/>
        <w:spacing w:line="374" w:lineRule="auto"/>
      </w:pPr>
    </w:p>
    <w:p w14:paraId="4EDD922F">
      <w:pPr>
        <w:spacing w:before="101" w:line="346" w:lineRule="auto"/>
        <w:ind w:left="74" w:right="12" w:firstLine="59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从决算单位构成来看，武汉市蔡甸区统计局部门决算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由纳入独立核算的单位本级决算和</w:t>
      </w:r>
      <w:r>
        <w:rPr>
          <w:rFonts w:ascii="仿宋" w:hAnsi="仿宋" w:eastAsia="仿宋" w:cs="仿宋"/>
          <w:spacing w:val="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2 个下属</w:t>
      </w:r>
      <w:r>
        <w:rPr>
          <w:rFonts w:ascii="仿宋" w:hAnsi="仿宋" w:eastAsia="仿宋" w:cs="仿宋"/>
          <w:spacing w:val="23"/>
          <w:sz w:val="31"/>
          <w:szCs w:val="31"/>
        </w:rPr>
        <w:t>单位决算组</w:t>
      </w:r>
    </w:p>
    <w:p w14:paraId="4BA2C60A">
      <w:pPr>
        <w:spacing w:line="229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</w:rPr>
        <w:t>成。</w:t>
      </w:r>
    </w:p>
    <w:p w14:paraId="1541E735">
      <w:pPr>
        <w:pStyle w:val="2"/>
        <w:spacing w:line="371" w:lineRule="auto"/>
      </w:pPr>
    </w:p>
    <w:p w14:paraId="31AFDB1A">
      <w:pPr>
        <w:spacing w:before="100" w:line="581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19"/>
          <w:sz w:val="31"/>
          <w:szCs w:val="31"/>
        </w:rPr>
        <w:t>纳入武汉市蔡甸区统计局</w:t>
      </w:r>
      <w:r>
        <w:rPr>
          <w:rFonts w:ascii="仿宋" w:hAnsi="仿宋" w:eastAsia="仿宋" w:cs="仿宋"/>
          <w:spacing w:val="-54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19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19"/>
          <w:sz w:val="31"/>
          <w:szCs w:val="31"/>
        </w:rPr>
        <w:t>年度部门决算编制范围</w:t>
      </w:r>
    </w:p>
    <w:p w14:paraId="0ECC2808">
      <w:pPr>
        <w:spacing w:line="226" w:lineRule="auto"/>
        <w:ind w:left="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的二级预算单位包括：</w:t>
      </w:r>
    </w:p>
    <w:p w14:paraId="5CFB323F">
      <w:pPr>
        <w:pStyle w:val="2"/>
        <w:spacing w:line="376" w:lineRule="auto"/>
      </w:pPr>
    </w:p>
    <w:p w14:paraId="1F243045">
      <w:pPr>
        <w:spacing w:before="102" w:line="226" w:lineRule="auto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1.武汉市蔡甸区农村调查经济队</w:t>
      </w:r>
    </w:p>
    <w:p w14:paraId="7E3D3C91">
      <w:pPr>
        <w:pStyle w:val="2"/>
        <w:spacing w:line="376" w:lineRule="auto"/>
      </w:pPr>
    </w:p>
    <w:p w14:paraId="03602E5E">
      <w:pPr>
        <w:spacing w:before="101" w:line="861" w:lineRule="exact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42"/>
          <w:sz w:val="31"/>
          <w:szCs w:val="31"/>
        </w:rPr>
        <w:t>2.武汉市蔡甸区普查中心（城市社会经济调查队）</w:t>
      </w:r>
    </w:p>
    <w:p w14:paraId="4D8960DA">
      <w:pPr>
        <w:spacing w:before="1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三、部门人员构成</w:t>
      </w:r>
    </w:p>
    <w:p w14:paraId="7A5567CD">
      <w:pPr>
        <w:pStyle w:val="2"/>
        <w:spacing w:line="376" w:lineRule="auto"/>
      </w:pPr>
    </w:p>
    <w:p w14:paraId="7235E527">
      <w:pPr>
        <w:spacing w:before="101" w:line="580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武汉市蔡甸区统计局在职实有人数</w:t>
      </w:r>
      <w:r>
        <w:rPr>
          <w:rFonts w:ascii="仿宋" w:hAnsi="仿宋" w:eastAsia="仿宋" w:cs="仿宋"/>
          <w:spacing w:val="-23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19</w:t>
      </w:r>
      <w:r>
        <w:rPr>
          <w:rFonts w:ascii="仿宋" w:hAnsi="仿宋" w:eastAsia="仿宋" w:cs="仿宋"/>
          <w:spacing w:val="-33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人，其中：</w:t>
      </w:r>
      <w:r>
        <w:rPr>
          <w:rFonts w:ascii="仿宋" w:hAnsi="仿宋" w:eastAsia="仿宋" w:cs="仿宋"/>
          <w:spacing w:val="-91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行</w:t>
      </w:r>
    </w:p>
    <w:p w14:paraId="657C4974">
      <w:pPr>
        <w:spacing w:before="2"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政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11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人，事业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8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人(其中：参照公务员法管</w:t>
      </w:r>
      <w:r>
        <w:rPr>
          <w:rFonts w:ascii="仿宋" w:hAnsi="仿宋" w:eastAsia="仿宋" w:cs="仿宋"/>
          <w:spacing w:val="1"/>
          <w:sz w:val="31"/>
          <w:szCs w:val="31"/>
        </w:rPr>
        <w:t>理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4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人)。</w:t>
      </w:r>
    </w:p>
    <w:p w14:paraId="19A6D023">
      <w:pPr>
        <w:pStyle w:val="2"/>
        <w:spacing w:line="313" w:lineRule="auto"/>
      </w:pPr>
    </w:p>
    <w:p w14:paraId="5579CE8A">
      <w:pPr>
        <w:spacing w:before="101" w:line="226" w:lineRule="auto"/>
        <w:ind w:left="68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离退休人员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人，其中：离休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人，退休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人。</w:t>
      </w:r>
    </w:p>
    <w:p w14:paraId="6ACDDA7D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069CD029">
      <w:pPr>
        <w:spacing w:before="96" w:line="224" w:lineRule="auto"/>
        <w:ind w:left="91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第二部分</w:t>
      </w:r>
      <w:r>
        <w:rPr>
          <w:rFonts w:ascii="宋体" w:hAnsi="宋体" w:eastAsia="宋体" w:cs="宋体"/>
          <w:spacing w:val="7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武汉市蔡甸区统计局</w:t>
      </w:r>
      <w:r>
        <w:rPr>
          <w:rFonts w:ascii="宋体" w:hAnsi="宋体" w:eastAsia="宋体" w:cs="宋体"/>
          <w:spacing w:val="-82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94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</w:p>
    <w:p w14:paraId="78BD68FB">
      <w:pPr>
        <w:spacing w:before="53" w:line="224" w:lineRule="auto"/>
        <w:ind w:left="2981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8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度部门决算</w:t>
      </w:r>
    </w:p>
    <w:p w14:paraId="4A331B17">
      <w:pPr>
        <w:spacing w:before="121" w:line="6900" w:lineRule="exact"/>
        <w:ind w:firstLine="15"/>
      </w:pPr>
      <w:r>
        <w:rPr>
          <w:position w:val="-138"/>
        </w:rPr>
        <w:drawing>
          <wp:inline distT="0" distB="0" distL="0" distR="0">
            <wp:extent cx="5277485" cy="43815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35FE">
      <w:pPr>
        <w:spacing w:line="6900" w:lineRule="exact"/>
        <w:sectPr>
          <w:pgSz w:w="11915" w:h="16851"/>
          <w:pgMar w:top="1414" w:right="1787" w:bottom="0" w:left="1787" w:header="0" w:footer="0" w:gutter="0"/>
          <w:cols w:space="720" w:num="1"/>
        </w:sectPr>
      </w:pPr>
    </w:p>
    <w:p w14:paraId="33926E81">
      <w:pPr>
        <w:spacing w:before="89" w:line="7634" w:lineRule="exact"/>
        <w:ind w:firstLine="12"/>
      </w:pPr>
      <w:r>
        <w:rPr>
          <w:position w:val="-152"/>
        </w:rPr>
        <w:drawing>
          <wp:inline distT="0" distB="0" distL="0" distR="0">
            <wp:extent cx="5277485" cy="48475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DB12">
      <w:pPr>
        <w:pStyle w:val="2"/>
        <w:spacing w:line="408" w:lineRule="auto"/>
      </w:pPr>
      <w:r>
        <w:rPr>
          <w:position w:val="-177"/>
        </w:rPr>
        <w:drawing>
          <wp:inline distT="0" distB="0" distL="0" distR="0">
            <wp:extent cx="5286375" cy="5629275"/>
            <wp:effectExtent l="0" t="0" r="9525" b="952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755" cy="56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3995" cy="5220335"/>
            <wp:effectExtent l="0" t="0" r="1905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B6EF">
      <w:pPr>
        <w:spacing w:line="8865" w:lineRule="exact"/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6B307855">
      <w:pPr>
        <w:spacing w:before="127" w:line="8806" w:lineRule="exact"/>
        <w:ind w:firstLine="15"/>
      </w:pPr>
      <w:r>
        <w:rPr>
          <w:position w:val="-176"/>
        </w:rPr>
        <w:drawing>
          <wp:inline distT="0" distB="0" distL="0" distR="0">
            <wp:extent cx="5277485" cy="55911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55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A57B">
      <w:pPr>
        <w:spacing w:line="8806" w:lineRule="exact"/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4486A5F7">
      <w:pPr>
        <w:spacing w:before="115" w:line="6960" w:lineRule="exact"/>
        <w:ind w:firstLine="15"/>
      </w:pPr>
      <w:r>
        <w:rPr>
          <w:position w:val="-139"/>
        </w:rPr>
        <w:drawing>
          <wp:inline distT="0" distB="0" distL="0" distR="0">
            <wp:extent cx="5277485" cy="44196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795F">
      <w:pPr>
        <w:pStyle w:val="2"/>
        <w:spacing w:line="245" w:lineRule="auto"/>
      </w:pPr>
    </w:p>
    <w:p w14:paraId="672EDEF8">
      <w:pPr>
        <w:pStyle w:val="2"/>
        <w:spacing w:line="245" w:lineRule="auto"/>
      </w:pPr>
    </w:p>
    <w:p w14:paraId="64ABE6B9">
      <w:pPr>
        <w:pStyle w:val="2"/>
        <w:spacing w:line="245" w:lineRule="auto"/>
      </w:pPr>
    </w:p>
    <w:p w14:paraId="6F183B04">
      <w:pPr>
        <w:pStyle w:val="2"/>
        <w:spacing w:line="246" w:lineRule="auto"/>
      </w:pPr>
    </w:p>
    <w:p w14:paraId="3325546C">
      <w:pPr>
        <w:pStyle w:val="2"/>
        <w:spacing w:line="246" w:lineRule="auto"/>
      </w:pPr>
    </w:p>
    <w:p w14:paraId="1E1FE157">
      <w:pPr>
        <w:pStyle w:val="2"/>
        <w:spacing w:line="246" w:lineRule="auto"/>
      </w:pPr>
    </w:p>
    <w:p w14:paraId="7BCE8225">
      <w:pPr>
        <w:pStyle w:val="2"/>
        <w:spacing w:line="246" w:lineRule="auto"/>
      </w:pPr>
    </w:p>
    <w:p w14:paraId="0B45EFD8">
      <w:pPr>
        <w:spacing w:line="1620" w:lineRule="exact"/>
        <w:ind w:firstLine="12"/>
      </w:pPr>
      <w:r>
        <w:rPr>
          <w:position w:val="-32"/>
        </w:rPr>
        <w:drawing>
          <wp:inline distT="0" distB="0" distL="0" distR="0">
            <wp:extent cx="5277485" cy="1028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270A">
      <w:pPr>
        <w:spacing w:before="196" w:line="2040" w:lineRule="exact"/>
        <w:ind w:firstLine="12"/>
      </w:pPr>
      <w:r>
        <w:rPr>
          <w:position w:val="-40"/>
        </w:rPr>
        <w:drawing>
          <wp:inline distT="0" distB="0" distL="0" distR="0">
            <wp:extent cx="5277485" cy="12954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95C3">
      <w:pPr>
        <w:spacing w:before="225" w:line="225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本单位本年度无政府性基金收支。</w:t>
      </w:r>
    </w:p>
    <w:p w14:paraId="2355A51D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5510ADA1">
      <w:pPr>
        <w:spacing w:before="91" w:line="2326" w:lineRule="exact"/>
        <w:ind w:firstLine="12"/>
      </w:pPr>
      <w:r>
        <w:rPr>
          <w:position w:val="-46"/>
        </w:rPr>
        <w:drawing>
          <wp:inline distT="0" distB="0" distL="0" distR="0">
            <wp:extent cx="5391785" cy="14763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4C38">
      <w:pPr>
        <w:spacing w:before="240" w:line="225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本单位本年度无国有资本经营预算财政拨款支出。</w:t>
      </w:r>
    </w:p>
    <w:p w14:paraId="5834D52F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623" w:bottom="0" w:left="1787" w:header="0" w:footer="0" w:gutter="0"/>
          <w:cols w:space="720" w:num="1"/>
        </w:sectPr>
      </w:pPr>
    </w:p>
    <w:p w14:paraId="2829A131">
      <w:pPr>
        <w:spacing w:before="99" w:line="224" w:lineRule="auto"/>
        <w:ind w:left="2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第三部分</w:t>
      </w:r>
      <w:r>
        <w:rPr>
          <w:rFonts w:ascii="宋体" w:hAnsi="宋体" w:eastAsia="宋体" w:cs="宋体"/>
          <w:spacing w:val="7"/>
          <w:sz w:val="43"/>
          <w:szCs w:val="43"/>
        </w:rPr>
        <w:t xml:space="preserve"> 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武汉市蔡甸区统计局</w:t>
      </w:r>
      <w:r>
        <w:rPr>
          <w:rFonts w:ascii="宋体" w:hAnsi="宋体" w:eastAsia="宋体" w:cs="宋体"/>
          <w:spacing w:val="-7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</w:p>
    <w:p w14:paraId="331F4AE7">
      <w:pPr>
        <w:spacing w:before="102" w:line="224" w:lineRule="auto"/>
        <w:ind w:left="242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部门决算情况说明</w:t>
      </w:r>
    </w:p>
    <w:p w14:paraId="21CC2CC0">
      <w:pPr>
        <w:pStyle w:val="2"/>
        <w:spacing w:line="402" w:lineRule="auto"/>
      </w:pPr>
    </w:p>
    <w:p w14:paraId="653141C5">
      <w:pPr>
        <w:spacing w:before="101" w:line="226" w:lineRule="auto"/>
        <w:ind w:left="82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一、收入支出决算总体情况说明</w:t>
      </w:r>
    </w:p>
    <w:p w14:paraId="23087CE5">
      <w:pPr>
        <w:pStyle w:val="2"/>
        <w:spacing w:line="315" w:lineRule="auto"/>
      </w:pPr>
    </w:p>
    <w:p w14:paraId="55BD84EB">
      <w:pPr>
        <w:spacing w:before="100" w:line="372" w:lineRule="auto"/>
        <w:ind w:left="70" w:right="26" w:firstLine="59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年度收、支总计</w:t>
      </w:r>
      <w:r>
        <w:rPr>
          <w:rFonts w:ascii="仿宋" w:hAnsi="仿宋" w:eastAsia="仿宋" w:cs="仿宋"/>
          <w:color w:val="333333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1,422.78</w:t>
      </w:r>
      <w:r>
        <w:rPr>
          <w:rFonts w:ascii="仿宋" w:hAnsi="仿宋" w:eastAsia="仿宋" w:cs="仿宋"/>
          <w:color w:val="333333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万元。与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2020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年度相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比，收、支总计各减少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221.06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万元，下降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13.4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5%，主要原</w:t>
      </w:r>
    </w:p>
    <w:p w14:paraId="1918E4B6">
      <w:pPr>
        <w:spacing w:before="1" w:line="227" w:lineRule="auto"/>
        <w:ind w:left="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因是本年度人口普查项目资金减少。</w:t>
      </w:r>
    </w:p>
    <w:p w14:paraId="57DC8916">
      <w:pPr>
        <w:pStyle w:val="2"/>
        <w:spacing w:line="314" w:lineRule="auto"/>
      </w:pPr>
    </w:p>
    <w:p w14:paraId="4A6F791A">
      <w:pPr>
        <w:spacing w:before="101" w:line="225" w:lineRule="auto"/>
        <w:ind w:left="8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图</w:t>
      </w:r>
      <w:r>
        <w:rPr>
          <w:rFonts w:ascii="宋体" w:hAnsi="宋体" w:eastAsia="宋体" w:cs="宋体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</w:t>
      </w:r>
      <w:r>
        <w:rPr>
          <w:rFonts w:ascii="宋体" w:hAnsi="宋体" w:eastAsia="宋体" w:cs="宋体"/>
          <w:spacing w:val="4"/>
          <w:sz w:val="31"/>
          <w:szCs w:val="31"/>
        </w:rPr>
        <w:t>：收、支决算总计变动情况</w:t>
      </w:r>
    </w:p>
    <w:p w14:paraId="70B816A1">
      <w:pPr>
        <w:spacing w:before="195" w:line="5671" w:lineRule="exact"/>
        <w:ind w:firstLine="12"/>
      </w:pPr>
      <w:r>
        <w:rPr>
          <w:position w:val="-113"/>
        </w:rPr>
        <w:drawing>
          <wp:inline distT="0" distB="0" distL="0" distR="0">
            <wp:extent cx="5295900" cy="36010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3C52">
      <w:pPr>
        <w:pStyle w:val="2"/>
        <w:spacing w:line="432" w:lineRule="auto"/>
      </w:pPr>
    </w:p>
    <w:p w14:paraId="47D52562">
      <w:pPr>
        <w:spacing w:before="102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二、收入决算情况说明</w:t>
      </w:r>
    </w:p>
    <w:p w14:paraId="3AB59851">
      <w:pPr>
        <w:pStyle w:val="2"/>
        <w:spacing w:line="243" w:lineRule="auto"/>
      </w:pPr>
    </w:p>
    <w:p w14:paraId="4F51CD3D">
      <w:pPr>
        <w:spacing w:before="101" w:line="372" w:lineRule="auto"/>
        <w:ind w:left="33" w:right="26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年度收入合计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1,422.78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万元。其中：财政拨款收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入 1,342.71 万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， 占</w:t>
      </w:r>
      <w:r>
        <w:rPr>
          <w:rFonts w:ascii="仿宋" w:hAnsi="仿宋" w:eastAsia="仿宋" w:cs="仿宋"/>
          <w:color w:val="333333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本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年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color w:val="333333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入 94.37%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；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上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级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补助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入</w:t>
      </w:r>
    </w:p>
    <w:p w14:paraId="64BB2A0D">
      <w:pPr>
        <w:spacing w:before="2" w:line="227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0.00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占本年收入</w:t>
      </w:r>
      <w:r>
        <w:rPr>
          <w:rFonts w:ascii="仿宋" w:hAnsi="仿宋" w:eastAsia="仿宋" w:cs="仿宋"/>
          <w:color w:val="333333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0.00%；事业收入</w:t>
      </w:r>
      <w:r>
        <w:rPr>
          <w:rFonts w:ascii="仿宋" w:hAnsi="仿宋" w:eastAsia="仿宋" w:cs="仿宋"/>
          <w:color w:val="333333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0.00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占本</w:t>
      </w:r>
    </w:p>
    <w:p w14:paraId="7A0E63EE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75" w:bottom="0" w:left="1787" w:header="0" w:footer="0" w:gutter="0"/>
          <w:cols w:space="720" w:num="1"/>
        </w:sectPr>
      </w:pPr>
    </w:p>
    <w:p w14:paraId="0E72C5BD">
      <w:pPr>
        <w:spacing w:before="161" w:line="624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年收入</w:t>
      </w:r>
      <w:r>
        <w:rPr>
          <w:rFonts w:ascii="仿宋" w:hAnsi="仿宋" w:eastAsia="仿宋" w:cs="仿宋"/>
          <w:color w:val="333333"/>
          <w:spacing w:val="-28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0.00%；经营收入</w:t>
      </w:r>
      <w:r>
        <w:rPr>
          <w:rFonts w:ascii="仿宋" w:hAnsi="仿宋" w:eastAsia="仿宋" w:cs="仿宋"/>
          <w:color w:val="333333"/>
          <w:spacing w:val="-43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color w:val="333333"/>
          <w:spacing w:val="-36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5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占本年收入</w:t>
      </w:r>
      <w:r>
        <w:rPr>
          <w:rFonts w:ascii="仿宋" w:hAnsi="仿宋" w:eastAsia="仿宋" w:cs="仿宋"/>
          <w:color w:val="333333"/>
          <w:spacing w:val="-42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0.00%；</w:t>
      </w:r>
    </w:p>
    <w:p w14:paraId="392EAA10">
      <w:pPr>
        <w:spacing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z w:val="31"/>
          <w:szCs w:val="31"/>
        </w:rPr>
        <w:t>其他收入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80.07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占本年收入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5.63%。</w:t>
      </w:r>
    </w:p>
    <w:p w14:paraId="11572D2E">
      <w:pPr>
        <w:spacing w:before="137" w:line="225" w:lineRule="auto"/>
        <w:ind w:left="69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图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：收入决算结构</w:t>
      </w:r>
    </w:p>
    <w:p w14:paraId="77969C6A">
      <w:pPr>
        <w:spacing w:before="194" w:line="5280" w:lineRule="exact"/>
        <w:ind w:firstLine="12"/>
      </w:pPr>
      <w:r>
        <w:rPr>
          <w:position w:val="-105"/>
        </w:rPr>
        <w:drawing>
          <wp:inline distT="0" distB="0" distL="0" distR="0">
            <wp:extent cx="5295900" cy="33528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CD02">
      <w:pPr>
        <w:spacing w:before="49" w:line="226" w:lineRule="auto"/>
        <w:ind w:left="63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三、支出决算情况说明</w:t>
      </w:r>
    </w:p>
    <w:p w14:paraId="012D0216">
      <w:pPr>
        <w:pStyle w:val="2"/>
        <w:spacing w:line="246" w:lineRule="auto"/>
      </w:pPr>
    </w:p>
    <w:p w14:paraId="63C53701">
      <w:pPr>
        <w:spacing w:before="101" w:line="372" w:lineRule="auto"/>
        <w:ind w:left="22" w:right="26" w:firstLine="64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1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年度支出合计 1,422.78</w:t>
      </w:r>
      <w:r>
        <w:rPr>
          <w:rFonts w:ascii="仿宋" w:hAnsi="仿宋" w:eastAsia="仿宋" w:cs="仿宋"/>
          <w:color w:val="333333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万元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。其中：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基本支出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454.95 万</w:t>
      </w:r>
      <w:r>
        <w:rPr>
          <w:rFonts w:ascii="仿宋" w:hAnsi="仿宋" w:eastAsia="仿宋" w:cs="仿宋"/>
          <w:color w:val="333333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占本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年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出 31.98%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；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项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目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支出 967.83 万</w:t>
      </w:r>
    </w:p>
    <w:p w14:paraId="685CC4F9">
      <w:pPr>
        <w:spacing w:before="1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2"/>
          <w:sz w:val="31"/>
          <w:szCs w:val="31"/>
        </w:rPr>
        <w:t>元，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2"/>
          <w:sz w:val="31"/>
          <w:szCs w:val="31"/>
        </w:rPr>
        <w:t>占本年支出</w:t>
      </w:r>
      <w:r>
        <w:rPr>
          <w:rFonts w:ascii="仿宋" w:hAnsi="仿宋" w:eastAsia="仿宋" w:cs="仿宋"/>
          <w:color w:val="333333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2"/>
          <w:sz w:val="31"/>
          <w:szCs w:val="31"/>
        </w:rPr>
        <w:t>68.02%。</w:t>
      </w:r>
    </w:p>
    <w:p w14:paraId="0C975566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75" w:bottom="0" w:left="1787" w:header="0" w:footer="0" w:gutter="0"/>
          <w:cols w:space="720" w:num="1"/>
        </w:sectPr>
      </w:pPr>
    </w:p>
    <w:p w14:paraId="6477031B">
      <w:pPr>
        <w:spacing w:before="64" w:line="225" w:lineRule="auto"/>
        <w:ind w:left="69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图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</w:t>
      </w:r>
      <w:r>
        <w:rPr>
          <w:rFonts w:ascii="宋体" w:hAnsi="宋体" w:eastAsia="宋体" w:cs="宋体"/>
          <w:spacing w:val="2"/>
          <w:sz w:val="31"/>
          <w:szCs w:val="31"/>
        </w:rPr>
        <w:t>：支出决算结构</w:t>
      </w:r>
    </w:p>
    <w:p w14:paraId="0137CE27">
      <w:pPr>
        <w:spacing w:before="194" w:line="5011" w:lineRule="exact"/>
        <w:ind w:firstLine="12"/>
      </w:pPr>
      <w:r>
        <w:rPr>
          <w:position w:val="-100"/>
        </w:rPr>
        <w:drawing>
          <wp:inline distT="0" distB="0" distL="0" distR="0">
            <wp:extent cx="5295900" cy="31819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6519">
      <w:pPr>
        <w:pStyle w:val="2"/>
        <w:spacing w:line="432" w:lineRule="auto"/>
      </w:pPr>
    </w:p>
    <w:p w14:paraId="1BF33E35">
      <w:pPr>
        <w:spacing w:before="101" w:line="226" w:lineRule="auto"/>
        <w:ind w:left="68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四、财政拨款收入支出决算总体情况说明</w:t>
      </w:r>
    </w:p>
    <w:p w14:paraId="36E72930">
      <w:pPr>
        <w:pStyle w:val="2"/>
        <w:spacing w:line="243" w:lineRule="auto"/>
      </w:pPr>
    </w:p>
    <w:p w14:paraId="0904641A">
      <w:pPr>
        <w:spacing w:before="100" w:line="372" w:lineRule="auto"/>
        <w:ind w:left="27" w:right="26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2021 年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度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拨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款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、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总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计 1,342.71 万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。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与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2020</w:t>
      </w:r>
      <w:r>
        <w:rPr>
          <w:rFonts w:ascii="仿宋" w:hAnsi="仿宋" w:eastAsia="仿宋" w:cs="仿宋"/>
          <w:color w:val="333333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年度相比，财政拨款收、支总计各减少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216.83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下降</w:t>
      </w:r>
      <w:r>
        <w:rPr>
          <w:rFonts w:ascii="仿宋" w:hAnsi="仿宋" w:eastAsia="仿宋" w:cs="仿宋"/>
          <w:color w:val="333333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13.90%。主要原因是本年度经济普查和人口普查项目</w:t>
      </w:r>
    </w:p>
    <w:p w14:paraId="546FEF57">
      <w:pPr>
        <w:spacing w:before="1" w:line="228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z w:val="31"/>
          <w:szCs w:val="31"/>
        </w:rPr>
        <w:t>资金减少。</w:t>
      </w:r>
    </w:p>
    <w:p w14:paraId="7BBFC1B2">
      <w:pPr>
        <w:spacing w:before="241" w:line="225" w:lineRule="auto"/>
        <w:ind w:right="20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-6"/>
          <w:sz w:val="31"/>
          <w:szCs w:val="31"/>
        </w:rPr>
        <w:t>：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财 政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拨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款</w:t>
      </w:r>
      <w:r>
        <w:rPr>
          <w:rFonts w:ascii="宋体" w:hAnsi="宋体" w:eastAsia="宋体" w:cs="宋体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收</w:t>
      </w:r>
      <w:r>
        <w:rPr>
          <w:rFonts w:ascii="宋体" w:hAnsi="宋体" w:eastAsia="宋体" w:cs="宋体"/>
          <w:spacing w:val="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、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支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决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算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总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计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变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动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情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况</w:t>
      </w:r>
    </w:p>
    <w:p w14:paraId="6FF2202D">
      <w:pPr>
        <w:spacing w:before="171" w:line="3900" w:lineRule="exact"/>
        <w:ind w:firstLine="12"/>
      </w:pPr>
      <w:r>
        <w:rPr>
          <w:position w:val="-78"/>
        </w:rPr>
        <w:drawing>
          <wp:inline distT="0" distB="0" distL="0" distR="0">
            <wp:extent cx="5295900" cy="24765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A3C5">
      <w:pPr>
        <w:spacing w:line="3900" w:lineRule="exact"/>
        <w:sectPr>
          <w:pgSz w:w="11915" w:h="16851"/>
          <w:pgMar w:top="1424" w:right="1775" w:bottom="0" w:left="1787" w:header="0" w:footer="0" w:gutter="0"/>
          <w:cols w:space="720" w:num="1"/>
        </w:sectPr>
      </w:pPr>
    </w:p>
    <w:p w14:paraId="103F1248">
      <w:pPr>
        <w:spacing w:before="64" w:line="622" w:lineRule="exact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2"/>
          <w:sz w:val="31"/>
          <w:szCs w:val="31"/>
        </w:rPr>
        <w:t>五、一般公共预算财政拨款支出决算情况说明</w:t>
      </w:r>
    </w:p>
    <w:p w14:paraId="6F919EE5">
      <w:pPr>
        <w:spacing w:line="232" w:lineRule="auto"/>
        <w:ind w:left="69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（一）财政拨款支出决算总体情况</w:t>
      </w:r>
    </w:p>
    <w:p w14:paraId="33DDDC09">
      <w:pPr>
        <w:spacing w:before="337" w:line="372" w:lineRule="auto"/>
        <w:ind w:left="27" w:right="14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年度财政拨款支出</w:t>
      </w:r>
      <w:r>
        <w:rPr>
          <w:rFonts w:ascii="仿宋" w:hAnsi="仿宋" w:eastAsia="仿宋" w:cs="仿宋"/>
          <w:color w:val="333333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1,342.71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占本年支出合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计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的 94.37%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。</w:t>
      </w:r>
      <w:r>
        <w:rPr>
          <w:rFonts w:ascii="仿宋" w:hAnsi="仿宋" w:eastAsia="仿宋" w:cs="仿宋"/>
          <w:color w:val="333333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与 2020 年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度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相</w:t>
      </w:r>
      <w:r>
        <w:rPr>
          <w:rFonts w:ascii="仿宋" w:hAnsi="仿宋" w:eastAsia="仿宋" w:cs="仿宋"/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比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拨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款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出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减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216.83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万元，下降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13.90%。主要原因是本年度经济普查和</w:t>
      </w:r>
    </w:p>
    <w:p w14:paraId="6C13B8F6">
      <w:pPr>
        <w:spacing w:line="228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人口普查项目资金减少。</w:t>
      </w:r>
    </w:p>
    <w:p w14:paraId="3172669F">
      <w:pPr>
        <w:spacing w:before="240" w:line="232" w:lineRule="auto"/>
        <w:ind w:left="69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（二）财政拨款支出决算结构情况</w:t>
      </w:r>
    </w:p>
    <w:p w14:paraId="098EC389">
      <w:pPr>
        <w:spacing w:before="232" w:line="372" w:lineRule="auto"/>
        <w:ind w:left="25" w:right="14" w:firstLine="64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年度财政拨款支出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1,342.71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万元，主要用于以下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方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面</w:t>
      </w:r>
      <w:r>
        <w:rPr>
          <w:rFonts w:ascii="仿宋" w:hAnsi="仿宋" w:eastAsia="仿宋" w:cs="仿宋"/>
          <w:color w:val="333333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：</w:t>
      </w:r>
      <w:r>
        <w:rPr>
          <w:rFonts w:ascii="仿宋" w:hAnsi="仿宋" w:eastAsia="仿宋" w:cs="仿宋"/>
          <w:color w:val="333333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服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（类</w:t>
      </w:r>
      <w:r>
        <w:rPr>
          <w:rFonts w:ascii="仿宋" w:hAnsi="仿宋" w:eastAsia="仿宋" w:cs="仿宋"/>
          <w:color w:val="333333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）</w:t>
      </w:r>
      <w:r>
        <w:rPr>
          <w:rFonts w:ascii="仿宋" w:hAnsi="仿宋" w:eastAsia="仿宋" w:cs="仿宋"/>
          <w:color w:val="333333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支 出</w:t>
      </w:r>
      <w:r>
        <w:rPr>
          <w:rFonts w:ascii="仿宋" w:hAnsi="仿宋" w:eastAsia="仿宋" w:cs="仿宋"/>
          <w:color w:val="333333"/>
          <w:spacing w:val="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1141.07 万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， 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84.98%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；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社</w:t>
      </w:r>
      <w:r>
        <w:rPr>
          <w:rFonts w:ascii="仿宋" w:hAnsi="仿宋" w:eastAsia="仿宋" w:cs="仿宋"/>
          <w:color w:val="333333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会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保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障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和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就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业（类</w:t>
      </w:r>
      <w:r>
        <w:rPr>
          <w:rFonts w:ascii="仿宋" w:hAnsi="仿宋" w:eastAsia="仿宋" w:cs="仿宋"/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）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 xml:space="preserve">出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138.45 万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， 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10.31%；卫生健康（类）支出</w:t>
      </w:r>
      <w:r>
        <w:rPr>
          <w:rFonts w:ascii="仿宋" w:hAnsi="仿宋" w:eastAsia="仿宋" w:cs="仿宋"/>
          <w:color w:val="333333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30.1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9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占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2.25%；住房</w:t>
      </w:r>
    </w:p>
    <w:p w14:paraId="03B93FC1">
      <w:pPr>
        <w:spacing w:before="1" w:line="226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保障（类）支出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33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占</w:t>
      </w:r>
      <w:r>
        <w:rPr>
          <w:rFonts w:ascii="仿宋" w:hAnsi="仿宋" w:eastAsia="仿宋" w:cs="仿宋"/>
          <w:color w:val="333333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2.46%。</w:t>
      </w:r>
    </w:p>
    <w:p w14:paraId="4F444C85">
      <w:pPr>
        <w:spacing w:before="138" w:line="232" w:lineRule="auto"/>
        <w:ind w:left="69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（三）财政拨款支出决算具体情况。</w:t>
      </w:r>
    </w:p>
    <w:p w14:paraId="1F0671ED">
      <w:pPr>
        <w:spacing w:before="332" w:line="372" w:lineRule="auto"/>
        <w:ind w:left="25" w:right="12" w:firstLine="64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2021 年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度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预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算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拨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款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出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年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初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预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算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1,363.56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万元，支出决算为</w:t>
      </w:r>
      <w:r>
        <w:rPr>
          <w:rFonts w:ascii="仿宋" w:hAnsi="仿宋" w:eastAsia="仿宋" w:cs="仿宋"/>
          <w:color w:val="333333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1,342.71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万元，完成年初预算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的 98.47%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。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其 中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：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基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本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出 454.95 万</w:t>
      </w:r>
      <w:r>
        <w:rPr>
          <w:rFonts w:ascii="仿宋" w:hAnsi="仿宋" w:eastAsia="仿宋" w:cs="仿宋"/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项 目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887.76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万元。项目支出主要用于：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1.村（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社区）统计专项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经费  276.36</w:t>
      </w:r>
      <w:r>
        <w:rPr>
          <w:rFonts w:ascii="仿宋" w:hAnsi="仿宋" w:eastAsia="仿宋" w:cs="仿宋"/>
          <w:color w:val="333333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万元，主要成效是村（社区）统计专项经费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2"/>
          <w:sz w:val="31"/>
          <w:szCs w:val="31"/>
        </w:rPr>
        <w:t>项目的实施对确保资金规范安全运行，规范基础统计工作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方面作用显著。2.统计调查等专项业务费</w:t>
      </w:r>
      <w:r>
        <w:rPr>
          <w:rFonts w:ascii="仿宋" w:hAnsi="仿宋" w:eastAsia="仿宋" w:cs="仿宋"/>
          <w:color w:val="333333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62.67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万元，主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2"/>
          <w:sz w:val="31"/>
          <w:szCs w:val="31"/>
        </w:rPr>
        <w:t>要成效是统计调查等专项业务经费项目的实施改善了统计</w:t>
      </w:r>
    </w:p>
    <w:p w14:paraId="1D81AE78">
      <w:pPr>
        <w:spacing w:before="1" w:line="225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供给，确保了统计指标应统尽统和基础工作规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范。3.统计</w:t>
      </w:r>
    </w:p>
    <w:p w14:paraId="6F244635"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3" w:right="1787" w:bottom="0" w:left="1787" w:header="0" w:footer="0" w:gutter="0"/>
          <w:cols w:space="720" w:num="1"/>
        </w:sectPr>
      </w:pPr>
    </w:p>
    <w:p w14:paraId="0104AFCF">
      <w:pPr>
        <w:spacing w:before="155" w:line="372" w:lineRule="auto"/>
        <w:ind w:left="30" w:right="14" w:firstLine="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信息化建设专项经费</w:t>
      </w:r>
      <w:r>
        <w:rPr>
          <w:rFonts w:ascii="仿宋" w:hAnsi="仿宋" w:eastAsia="仿宋" w:cs="仿宋"/>
          <w:color w:val="333333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15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万元，主要成效是实现统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计资料网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络化，</w:t>
      </w:r>
      <w:r>
        <w:rPr>
          <w:rFonts w:ascii="仿宋" w:hAnsi="仿宋" w:eastAsia="仿宋" w:cs="仿宋"/>
          <w:color w:val="333333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向全区公众提供了查询、知晓统计数据平台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。4.基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层统计人员经费以及购买社会服务经费</w:t>
      </w:r>
      <w:r>
        <w:rPr>
          <w:rFonts w:ascii="仿宋" w:hAnsi="仿宋" w:eastAsia="仿宋" w:cs="仿宋"/>
          <w:color w:val="333333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122.52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万元，主要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2"/>
          <w:sz w:val="31"/>
          <w:szCs w:val="31"/>
        </w:rPr>
        <w:t>成效是保证了统计人员的收入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2"/>
          <w:sz w:val="31"/>
          <w:szCs w:val="31"/>
        </w:rPr>
        <w:t>，提高统计人员工作积极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性，更高效的完成统计工作。5.购买社会服务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60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万元，主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1"/>
          <w:sz w:val="31"/>
          <w:szCs w:val="31"/>
        </w:rPr>
        <w:t>要成效保障长聘人员工作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1"/>
          <w:sz w:val="31"/>
          <w:szCs w:val="31"/>
        </w:rPr>
        <w:t>。6.第七次人口普查专项经费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307.14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万元，主要成效较好地完成了全国第七次人口普查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工作。7.公益性岗位补贴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31.27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万元，主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要成效保障统计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协理员工资。8.2021</w:t>
      </w:r>
      <w:r>
        <w:rPr>
          <w:rFonts w:ascii="仿宋" w:hAnsi="仿宋" w:eastAsia="仿宋" w:cs="仿宋"/>
          <w:color w:val="333333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年劳动力调查工作经费</w:t>
      </w:r>
      <w:r>
        <w:rPr>
          <w:rFonts w:ascii="仿宋" w:hAnsi="仿宋" w:eastAsia="仿宋" w:cs="仿宋"/>
          <w:color w:val="333333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12.8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万元，主</w:t>
      </w:r>
    </w:p>
    <w:p w14:paraId="2FB9F060">
      <w:pPr>
        <w:spacing w:line="226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要成效是保障劳动力调查的各项费用。</w:t>
      </w:r>
    </w:p>
    <w:p w14:paraId="67454506">
      <w:pPr>
        <w:spacing w:before="138" w:line="621" w:lineRule="exact"/>
        <w:ind w:right="3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1.一般公共服务支出(类)</w:t>
      </w:r>
      <w:r>
        <w:rPr>
          <w:rFonts w:ascii="楷体" w:hAnsi="楷体" w:eastAsia="楷体" w:cs="楷体"/>
          <w:spacing w:val="-88"/>
          <w:position w:val="2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。</w:t>
      </w:r>
      <w:r>
        <w:rPr>
          <w:rFonts w:ascii="宋体" w:hAnsi="宋体" w:eastAsia="宋体" w:cs="宋体"/>
          <w:spacing w:val="17"/>
          <w:position w:val="22"/>
          <w:sz w:val="31"/>
          <w:szCs w:val="31"/>
        </w:rPr>
        <w:t xml:space="preserve">年初预算为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1,1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36.45</w:t>
      </w:r>
      <w:r>
        <w:rPr>
          <w:rFonts w:ascii="仿宋" w:hAnsi="仿宋" w:eastAsia="仿宋" w:cs="仿宋"/>
          <w:spacing w:val="-31"/>
          <w:position w:val="2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position w:val="22"/>
          <w:sz w:val="31"/>
          <w:szCs w:val="31"/>
        </w:rPr>
        <w:t>万</w:t>
      </w:r>
    </w:p>
    <w:p w14:paraId="6F72CFDE">
      <w:pPr>
        <w:spacing w:line="229" w:lineRule="auto"/>
        <w:ind w:left="27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 xml:space="preserve">元，支出决算为 </w:t>
      </w:r>
      <w:r>
        <w:rPr>
          <w:rFonts w:ascii="仿宋" w:hAnsi="仿宋" w:eastAsia="仿宋" w:cs="仿宋"/>
          <w:spacing w:val="5"/>
          <w:sz w:val="31"/>
          <w:szCs w:val="31"/>
        </w:rPr>
        <w:t>1141.07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万元，完成年初预算的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100.4%。</w:t>
      </w:r>
    </w:p>
    <w:p w14:paraId="2DF8536D">
      <w:pPr>
        <w:spacing w:before="238" w:line="371" w:lineRule="auto"/>
        <w:ind w:left="38" w:right="14" w:firstLine="62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2.社会保障和就业支出(类)</w:t>
      </w:r>
      <w:r>
        <w:rPr>
          <w:rFonts w:ascii="楷体" w:hAnsi="楷体" w:eastAsia="楷体" w:cs="楷体"/>
          <w:spacing w:val="-9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。</w:t>
      </w:r>
      <w:r>
        <w:rPr>
          <w:rFonts w:ascii="仿宋" w:hAnsi="仿宋" w:eastAsia="仿宋" w:cs="仿宋"/>
          <w:spacing w:val="18"/>
          <w:sz w:val="31"/>
          <w:szCs w:val="31"/>
        </w:rPr>
        <w:t>年初预算为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163.92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元，支出决算为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138.45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84</w:t>
      </w:r>
      <w:r>
        <w:rPr>
          <w:rFonts w:ascii="仿宋" w:hAnsi="仿宋" w:eastAsia="仿宋" w:cs="仿宋"/>
          <w:spacing w:val="6"/>
          <w:sz w:val="31"/>
          <w:szCs w:val="31"/>
        </w:rPr>
        <w:t>.46%，支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出决算数小于年初预算数的主要原因根据财政局下达指标</w:t>
      </w:r>
    </w:p>
    <w:p w14:paraId="2F74155A">
      <w:pPr>
        <w:spacing w:before="1" w:line="230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入账。</w:t>
      </w:r>
    </w:p>
    <w:p w14:paraId="13FCD64D">
      <w:pPr>
        <w:spacing w:before="234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3.卫生健康支出(类)。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年初预算为</w:t>
      </w:r>
      <w:r>
        <w:rPr>
          <w:rFonts w:ascii="仿宋" w:hAnsi="仿宋" w:eastAsia="仿宋" w:cs="仿宋"/>
          <w:spacing w:val="-41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30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.20</w:t>
      </w:r>
      <w:r>
        <w:rPr>
          <w:rFonts w:ascii="仿宋" w:hAnsi="仿宋" w:eastAsia="仿宋" w:cs="仿宋"/>
          <w:spacing w:val="-36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万元，支出</w:t>
      </w:r>
    </w:p>
    <w:p w14:paraId="7E76122F"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决算为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30.19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万元，完成年初预算的,9</w:t>
      </w:r>
      <w:r>
        <w:rPr>
          <w:rFonts w:ascii="仿宋" w:hAnsi="仿宋" w:eastAsia="仿宋" w:cs="仿宋"/>
          <w:spacing w:val="4"/>
          <w:sz w:val="31"/>
          <w:szCs w:val="31"/>
        </w:rPr>
        <w:t>9.97%。</w:t>
      </w:r>
    </w:p>
    <w:p w14:paraId="2E44E1F3">
      <w:pPr>
        <w:spacing w:before="241" w:line="621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4.住房保障支出(类)。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年初预算为</w:t>
      </w:r>
      <w:r>
        <w:rPr>
          <w:rFonts w:ascii="仿宋" w:hAnsi="仿宋" w:eastAsia="仿宋" w:cs="仿宋"/>
          <w:spacing w:val="-40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33.00</w:t>
      </w:r>
      <w:r>
        <w:rPr>
          <w:rFonts w:ascii="仿宋" w:hAnsi="仿宋" w:eastAsia="仿宋" w:cs="仿宋"/>
          <w:spacing w:val="-3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万元，支出</w:t>
      </w:r>
    </w:p>
    <w:p w14:paraId="24A7307A"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决算为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100%。</w:t>
      </w:r>
    </w:p>
    <w:p w14:paraId="00607A24">
      <w:pPr>
        <w:spacing w:before="243" w:line="226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六、一般公共预算财政拨款基本支出决算情</w:t>
      </w:r>
      <w:r>
        <w:rPr>
          <w:rFonts w:ascii="黑体" w:hAnsi="黑体" w:eastAsia="黑体" w:cs="黑体"/>
          <w:spacing w:val="8"/>
          <w:sz w:val="31"/>
          <w:szCs w:val="31"/>
        </w:rPr>
        <w:t>况说明</w:t>
      </w:r>
    </w:p>
    <w:p w14:paraId="405E7C57"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4E857510">
      <w:pPr>
        <w:spacing w:before="65" w:line="621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2021</w:t>
      </w:r>
      <w:r>
        <w:rPr>
          <w:rFonts w:ascii="仿宋" w:hAnsi="仿宋" w:eastAsia="仿宋" w:cs="仿宋"/>
          <w:spacing w:val="-1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年度一般公共预算财政拨款基本支出</w:t>
      </w:r>
      <w:r>
        <w:rPr>
          <w:rFonts w:ascii="仿宋" w:hAnsi="仿宋" w:eastAsia="仿宋" w:cs="仿宋"/>
          <w:spacing w:val="-39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454.96</w:t>
      </w:r>
      <w:r>
        <w:rPr>
          <w:rFonts w:ascii="仿宋" w:hAnsi="仿宋" w:eastAsia="仿宋" w:cs="仿宋"/>
          <w:spacing w:val="-32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万</w:t>
      </w:r>
    </w:p>
    <w:p w14:paraId="7BFE423D">
      <w:pPr>
        <w:spacing w:before="1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元，其中：</w:t>
      </w:r>
    </w:p>
    <w:p w14:paraId="184497B2">
      <w:pPr>
        <w:spacing w:before="238" w:line="371" w:lineRule="auto"/>
        <w:ind w:left="33" w:right="13" w:firstLine="634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人员经费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440.36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万元，主要包括：基本工资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72.18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元、津贴补贴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75.76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万元、奖金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119.33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万元、绩效工资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万元、机关事业单位基本养老保险缴费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25.43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万元、职工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基本医疗保险缴费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12.28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万元、公务员医疗补助缴费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11.23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万元、其他社会保障缴费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0.2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万元、住房公积金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29.56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、退休费 11.41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、抚恤金 1.35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医疗费补助</w:t>
      </w:r>
    </w:p>
    <w:p w14:paraId="47399A3C">
      <w:pPr>
        <w:spacing w:before="1" w:line="227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6.68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万元、助学金、奖励金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68.95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  <w:r>
        <w:rPr>
          <w:rFonts w:ascii="仿宋" w:hAnsi="仿宋" w:eastAsia="仿宋" w:cs="仿宋"/>
          <w:spacing w:val="3"/>
          <w:sz w:val="31"/>
          <w:szCs w:val="31"/>
        </w:rPr>
        <w:t>元。</w:t>
      </w:r>
    </w:p>
    <w:p w14:paraId="34452B73">
      <w:pPr>
        <w:spacing w:before="237" w:line="371" w:lineRule="auto"/>
        <w:ind w:left="26" w:right="11" w:firstLine="64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公用经费</w:t>
      </w:r>
      <w:r>
        <w:rPr>
          <w:rFonts w:ascii="宋体" w:hAnsi="宋体" w:eastAsia="宋体" w:cs="宋体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14.61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万元，主要包括：办公费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3.51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印刷费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0.09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万元、水费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0.12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电费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2.4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邮电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费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3.5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万元、差旅费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0.42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万元、维修(护)费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0.0</w:t>
      </w:r>
      <w:r>
        <w:rPr>
          <w:rFonts w:ascii="仿宋" w:hAnsi="仿宋" w:eastAsia="仿宋" w:cs="仿宋"/>
          <w:spacing w:val="10"/>
          <w:sz w:val="31"/>
          <w:szCs w:val="31"/>
        </w:rPr>
        <w:t>7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培训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费 1.02 万元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公务接待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费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0.04 万元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委托业务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0.06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万元、工会经费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0.63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万元、福利费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1.45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万元、其他</w:t>
      </w:r>
    </w:p>
    <w:p w14:paraId="224708A7">
      <w:pPr>
        <w:spacing w:line="229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交通费用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1.3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 w14:paraId="39C5DD70">
      <w:pPr>
        <w:spacing w:before="239" w:line="621" w:lineRule="exact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position w:val="22"/>
          <w:sz w:val="31"/>
          <w:szCs w:val="31"/>
        </w:rPr>
        <w:t>七、一般公共预算财政拨款</w:t>
      </w:r>
      <w:r>
        <w:rPr>
          <w:rFonts w:hint="eastAsia" w:ascii="黑体" w:hAnsi="黑体" w:eastAsia="黑体" w:cs="黑体"/>
          <w:spacing w:val="9"/>
          <w:position w:val="22"/>
          <w:sz w:val="31"/>
          <w:szCs w:val="31"/>
          <w:lang w:eastAsia="zh-CN"/>
        </w:rPr>
        <w:t>“三公”经费</w:t>
      </w:r>
      <w:r>
        <w:rPr>
          <w:rFonts w:ascii="黑体" w:hAnsi="黑体" w:eastAsia="黑体" w:cs="黑体"/>
          <w:spacing w:val="9"/>
          <w:position w:val="22"/>
          <w:sz w:val="31"/>
          <w:szCs w:val="31"/>
        </w:rPr>
        <w:t>支出决算情</w:t>
      </w:r>
    </w:p>
    <w:p w14:paraId="12305F27">
      <w:pPr>
        <w:spacing w:before="1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况说明</w:t>
      </w:r>
    </w:p>
    <w:p w14:paraId="42D17977">
      <w:pPr>
        <w:spacing w:before="241" w:line="231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z w:val="31"/>
          <w:szCs w:val="31"/>
        </w:rPr>
        <w:t>(一)</w:t>
      </w:r>
      <w:r>
        <w:rPr>
          <w:rFonts w:hint="eastAsia" w:ascii="楷体" w:hAnsi="楷体" w:eastAsia="楷体" w:cs="楷体"/>
          <w:sz w:val="31"/>
          <w:szCs w:val="31"/>
          <w:lang w:eastAsia="zh-CN"/>
        </w:rPr>
        <w:t>“三公”经费</w:t>
      </w:r>
      <w:r>
        <w:rPr>
          <w:rFonts w:ascii="楷体" w:hAnsi="楷体" w:eastAsia="楷体" w:cs="楷体"/>
          <w:sz w:val="31"/>
          <w:szCs w:val="31"/>
        </w:rPr>
        <w:t>的单位范围</w:t>
      </w:r>
    </w:p>
    <w:p w14:paraId="6E39A465">
      <w:pPr>
        <w:spacing w:before="236" w:line="371" w:lineRule="auto"/>
        <w:ind w:left="30" w:right="328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武汉市蔡甸区统计局有一般公共预算财政拨款预算安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排</w:t>
      </w:r>
      <w:r>
        <w:rPr>
          <w:rFonts w:hint="eastAsia" w:ascii="宋体" w:hAnsi="宋体" w:eastAsia="宋体" w:cs="宋体"/>
          <w:spacing w:val="7"/>
          <w:sz w:val="31"/>
          <w:szCs w:val="31"/>
          <w:lang w:eastAsia="zh-CN"/>
        </w:rPr>
        <w:t>“三公”经费</w:t>
      </w:r>
      <w:r>
        <w:rPr>
          <w:rFonts w:ascii="仿宋" w:hAnsi="仿宋" w:eastAsia="仿宋" w:cs="仿宋"/>
          <w:spacing w:val="7"/>
          <w:sz w:val="31"/>
          <w:szCs w:val="31"/>
        </w:rPr>
        <w:t>的单位包括武汉市蔡甸区统计局本级及下</w:t>
      </w:r>
    </w:p>
    <w:p w14:paraId="27D46B72">
      <w:pPr>
        <w:spacing w:before="1" w:line="226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属  1</w:t>
      </w:r>
      <w:r>
        <w:rPr>
          <w:rFonts w:ascii="仿宋" w:hAnsi="仿宋" w:eastAsia="仿宋" w:cs="仿宋"/>
          <w:spacing w:val="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个行政单位、1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个参公事业单位。</w:t>
      </w:r>
    </w:p>
    <w:p w14:paraId="42F00986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3" w:right="1787" w:bottom="0" w:left="1787" w:header="0" w:footer="0" w:gutter="0"/>
          <w:cols w:space="720" w:num="1"/>
        </w:sectPr>
      </w:pPr>
    </w:p>
    <w:p w14:paraId="343FA60F">
      <w:pPr>
        <w:spacing w:before="66" w:line="660" w:lineRule="exact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position w:val="25"/>
          <w:sz w:val="31"/>
          <w:szCs w:val="31"/>
        </w:rPr>
        <w:t>(二)一般公共预算财政拨款</w:t>
      </w:r>
      <w:r>
        <w:rPr>
          <w:rFonts w:hint="eastAsia" w:ascii="楷体" w:hAnsi="楷体" w:eastAsia="楷体" w:cs="楷体"/>
          <w:spacing w:val="4"/>
          <w:position w:val="25"/>
          <w:sz w:val="31"/>
          <w:szCs w:val="31"/>
          <w:lang w:eastAsia="zh-CN"/>
        </w:rPr>
        <w:t>“三公”经费</w:t>
      </w:r>
      <w:r>
        <w:rPr>
          <w:rFonts w:ascii="楷体" w:hAnsi="楷体" w:eastAsia="楷体" w:cs="楷体"/>
          <w:spacing w:val="4"/>
          <w:position w:val="25"/>
          <w:sz w:val="31"/>
          <w:szCs w:val="31"/>
        </w:rPr>
        <w:t>支出决算情</w:t>
      </w:r>
    </w:p>
    <w:p w14:paraId="4388230C">
      <w:pPr>
        <w:spacing w:before="1" w:line="193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况</w:t>
      </w:r>
      <w:r>
        <w:rPr>
          <w:rFonts w:ascii="仿宋" w:hAnsi="仿宋" w:eastAsia="仿宋" w:cs="仿宋"/>
          <w:spacing w:val="-10"/>
          <w:sz w:val="31"/>
          <w:szCs w:val="31"/>
        </w:rPr>
        <w:t>。</w:t>
      </w:r>
    </w:p>
    <w:p w14:paraId="0E8A1026">
      <w:pPr>
        <w:spacing w:before="259" w:line="622" w:lineRule="exact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2"/>
          <w:sz w:val="31"/>
          <w:szCs w:val="31"/>
        </w:rPr>
        <w:t>2021</w:t>
      </w:r>
      <w:r>
        <w:rPr>
          <w:rFonts w:ascii="仿宋" w:hAnsi="仿宋" w:eastAsia="仿宋" w:cs="仿宋"/>
          <w:spacing w:val="-3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年度</w:t>
      </w:r>
      <w:r>
        <w:rPr>
          <w:rFonts w:hint="eastAsia" w:ascii="宋体" w:hAnsi="宋体" w:eastAsia="宋体" w:cs="宋体"/>
          <w:spacing w:val="4"/>
          <w:position w:val="22"/>
          <w:sz w:val="31"/>
          <w:szCs w:val="31"/>
          <w:lang w:eastAsia="zh-CN"/>
        </w:rPr>
        <w:t>“三公”经费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财政拨款年初预算数为</w:t>
      </w:r>
      <w:r>
        <w:rPr>
          <w:rFonts w:ascii="仿宋" w:hAnsi="仿宋" w:eastAsia="仿宋" w:cs="仿宋"/>
          <w:spacing w:val="-62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0.93</w:t>
      </w:r>
      <w:r>
        <w:rPr>
          <w:rFonts w:ascii="仿宋" w:hAnsi="仿宋" w:eastAsia="仿宋" w:cs="仿宋"/>
          <w:spacing w:val="-51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万</w:t>
      </w:r>
    </w:p>
    <w:p w14:paraId="17B8C378">
      <w:pPr>
        <w:spacing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元，支出决算为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0.04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0%，其中：</w:t>
      </w:r>
    </w:p>
    <w:p w14:paraId="490751B1">
      <w:pPr>
        <w:spacing w:before="239" w:line="371" w:lineRule="auto"/>
        <w:ind w:left="30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1.</w:t>
      </w:r>
      <w:r>
        <w:rPr>
          <w:rFonts w:ascii="宋体" w:hAnsi="宋体" w:eastAsia="宋体" w:cs="宋体"/>
          <w:spacing w:val="13"/>
          <w:sz w:val="31"/>
          <w:szCs w:val="31"/>
        </w:rPr>
        <w:t>“</w:t>
      </w:r>
      <w:r>
        <w:rPr>
          <w:rFonts w:ascii="宋体" w:hAnsi="宋体" w:eastAsia="宋体" w:cs="宋体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三公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pacing w:val="13"/>
          <w:sz w:val="31"/>
          <w:szCs w:val="31"/>
        </w:rPr>
        <w:t>经费增减变化的原因：2021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</w:t>
      </w:r>
      <w:r>
        <w:rPr>
          <w:rFonts w:ascii="宋体" w:hAnsi="宋体" w:eastAsia="宋体" w:cs="宋体"/>
          <w:spacing w:val="13"/>
          <w:sz w:val="31"/>
          <w:szCs w:val="31"/>
        </w:rPr>
        <w:t>“</w:t>
      </w:r>
      <w:r>
        <w:rPr>
          <w:rFonts w:ascii="宋体" w:hAnsi="宋体" w:eastAsia="宋体" w:cs="宋体"/>
          <w:spacing w:val="-1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三公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”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经费财政拨款支出决算数比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2020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年度增加 0.01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万元，增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长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33.33%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，其中：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因公出国(境)支出决算增加</w:t>
      </w:r>
      <w:r>
        <w:rPr>
          <w:rFonts w:ascii="仿宋" w:hAnsi="仿宋" w:eastAsia="仿宋" w:cs="仿宋"/>
          <w:spacing w:val="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0.00</w:t>
      </w:r>
      <w:r>
        <w:rPr>
          <w:rFonts w:ascii="仿宋" w:hAnsi="仿宋" w:eastAsia="仿宋" w:cs="仿宋"/>
          <w:spacing w:val="-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元，增长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0%；公务用车购置及运行费支出决算增加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0.00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3"/>
          <w:sz w:val="31"/>
          <w:szCs w:val="31"/>
        </w:rPr>
        <w:t>元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，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增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长 0%,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公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务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接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待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支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出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决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算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增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加 0.01 万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元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增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长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9"/>
          <w:sz w:val="31"/>
          <w:szCs w:val="31"/>
        </w:rPr>
        <w:t>33.33%。公务接待费支出决算增加的主要原因是省市来人</w:t>
      </w:r>
    </w:p>
    <w:p w14:paraId="63B8142D"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检查工作。</w:t>
      </w:r>
    </w:p>
    <w:p w14:paraId="218BAED5">
      <w:pPr>
        <w:spacing w:before="242" w:line="624" w:lineRule="exact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position w:val="23"/>
          <w:sz w:val="31"/>
          <w:szCs w:val="31"/>
        </w:rPr>
        <w:t>2.因公出国(境)费支出决算为</w:t>
      </w:r>
      <w:r>
        <w:rPr>
          <w:rFonts w:ascii="仿宋" w:hAnsi="仿宋" w:eastAsia="仿宋" w:cs="仿宋"/>
          <w:spacing w:val="-37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spacing w:val="-4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position w:val="23"/>
          <w:sz w:val="31"/>
          <w:szCs w:val="31"/>
        </w:rPr>
        <w:t>万元，完成年初预</w:t>
      </w:r>
    </w:p>
    <w:p w14:paraId="6B1F1323">
      <w:pPr>
        <w:spacing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算的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0%，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比年初预算增加 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万元。</w:t>
      </w:r>
    </w:p>
    <w:p w14:paraId="4ADB1C1F">
      <w:pPr>
        <w:spacing w:before="241" w:line="621" w:lineRule="exact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23"/>
          <w:sz w:val="31"/>
          <w:szCs w:val="31"/>
        </w:rPr>
        <w:t>3.公务用车购置及运行费支出决算为</w:t>
      </w:r>
      <w:r>
        <w:rPr>
          <w:rFonts w:ascii="仿宋" w:hAnsi="仿宋" w:eastAsia="仿宋" w:cs="仿宋"/>
          <w:spacing w:val="-5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spacing w:val="-43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23"/>
          <w:sz w:val="31"/>
          <w:szCs w:val="31"/>
        </w:rPr>
        <w:t>万元，完成</w:t>
      </w:r>
    </w:p>
    <w:p w14:paraId="7AAF9873">
      <w:pPr>
        <w:spacing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年初预算的 0%；其中：</w:t>
      </w:r>
    </w:p>
    <w:p w14:paraId="73AB190C">
      <w:pPr>
        <w:spacing w:before="244" w:line="370" w:lineRule="auto"/>
        <w:ind w:left="70" w:right="15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(1)公务用车购置费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0.00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万元。本年度购置(更新)公务用车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</w:t>
      </w:r>
    </w:p>
    <w:p w14:paraId="521FC312">
      <w:pPr>
        <w:spacing w:line="227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辆。</w:t>
      </w:r>
    </w:p>
    <w:p w14:paraId="618E99DD">
      <w:pPr>
        <w:spacing w:before="242" w:line="371" w:lineRule="auto"/>
        <w:ind w:left="70" w:right="155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(2)公务用车运行费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万元；截止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2021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12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月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31 日，开支财</w:t>
      </w:r>
    </w:p>
    <w:p w14:paraId="4C33349A">
      <w:pPr>
        <w:spacing w:before="2" w:line="224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政拨款的公务用车保有量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辆。</w:t>
      </w:r>
    </w:p>
    <w:p w14:paraId="7666FA97">
      <w:pPr>
        <w:spacing w:line="224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2" w:right="1646" w:bottom="0" w:left="1787" w:header="0" w:footer="0" w:gutter="0"/>
          <w:cols w:space="720" w:num="1"/>
        </w:sectPr>
      </w:pPr>
    </w:p>
    <w:p w14:paraId="49B10E7A">
      <w:pPr>
        <w:spacing w:before="64" w:line="371" w:lineRule="auto"/>
        <w:ind w:left="26" w:right="14" w:firstLine="63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4.公务接待费支出决算为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0.04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万元，完成年初预算的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0%，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0.04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万元，主要原因是省市来人检查</w:t>
      </w:r>
    </w:p>
    <w:p w14:paraId="73EF463F"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工作。主要用于接待省市来人检查工作。</w:t>
      </w:r>
    </w:p>
    <w:p w14:paraId="631D21B8">
      <w:pPr>
        <w:spacing w:before="242" w:line="371" w:lineRule="auto"/>
        <w:ind w:left="42" w:right="14" w:firstLine="62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2021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</w:t>
      </w:r>
      <w:r>
        <w:rPr>
          <w:rFonts w:ascii="仿宋" w:hAnsi="仿宋" w:eastAsia="仿宋" w:cs="仿宋"/>
          <w:spacing w:val="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武汉市蔡甸区统计局</w:t>
      </w:r>
      <w:r>
        <w:rPr>
          <w:rFonts w:ascii="仿宋" w:hAnsi="仿宋" w:eastAsia="仿宋" w:cs="仿宋"/>
          <w:spacing w:val="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执行公务和开展业务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活动开支公务接待费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0.04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万元。其中：主要用于</w:t>
      </w:r>
      <w:r>
        <w:rPr>
          <w:rFonts w:ascii="仿宋" w:hAnsi="仿宋" w:eastAsia="仿宋" w:cs="仿宋"/>
          <w:spacing w:val="11"/>
          <w:sz w:val="31"/>
          <w:szCs w:val="31"/>
        </w:rPr>
        <w:t>省市来人</w:t>
      </w:r>
    </w:p>
    <w:p w14:paraId="4DFD0894"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检查的接待工作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批次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人次(其中：陪同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人次)；</w:t>
      </w:r>
    </w:p>
    <w:p w14:paraId="7E2BA9EE">
      <w:pPr>
        <w:spacing w:before="242" w:line="227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八、政府性基金预算财政拨款收入支出决算情况</w:t>
      </w:r>
    </w:p>
    <w:p w14:paraId="755A07DC">
      <w:pPr>
        <w:pStyle w:val="2"/>
        <w:spacing w:line="242" w:lineRule="auto"/>
      </w:pPr>
    </w:p>
    <w:p w14:paraId="035EB8FE">
      <w:pPr>
        <w:spacing w:before="101" w:line="372" w:lineRule="auto"/>
        <w:ind w:left="26" w:right="14" w:firstLine="64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2021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年度政府性基金预算财政拨款年初结转和结余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万元，本年收入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0.00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万元，本年支出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0.00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</w:t>
      </w:r>
      <w:r>
        <w:rPr>
          <w:rFonts w:ascii="仿宋" w:hAnsi="仿宋" w:eastAsia="仿宋" w:cs="仿宋"/>
          <w:spacing w:val="9"/>
          <w:sz w:val="31"/>
          <w:szCs w:val="31"/>
        </w:rPr>
        <w:t>元，年</w:t>
      </w:r>
    </w:p>
    <w:p w14:paraId="7BC263EF">
      <w:pPr>
        <w:spacing w:line="224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末结转和结余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</w:t>
      </w:r>
    </w:p>
    <w:p w14:paraId="6B1AC0FE">
      <w:pPr>
        <w:spacing w:before="145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九、国有资本经营预算财政拨款支出决算情况</w:t>
      </w:r>
    </w:p>
    <w:p w14:paraId="395F1A9D">
      <w:pPr>
        <w:pStyle w:val="2"/>
        <w:spacing w:line="243" w:lineRule="auto"/>
      </w:pPr>
    </w:p>
    <w:p w14:paraId="6F7DFEC6">
      <w:pPr>
        <w:spacing w:before="101" w:line="624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23"/>
          <w:sz w:val="31"/>
          <w:szCs w:val="31"/>
        </w:rPr>
        <w:t>年度国有资本经营预算财政拨款本年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支出</w:t>
      </w:r>
      <w:r>
        <w:rPr>
          <w:rFonts w:ascii="仿宋" w:hAnsi="仿宋" w:eastAsia="仿宋" w:cs="仿宋"/>
          <w:spacing w:val="-5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spacing w:val="-49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万</w:t>
      </w:r>
    </w:p>
    <w:p w14:paraId="38F42EC3">
      <w:pPr>
        <w:spacing w:line="232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</w:rPr>
        <w:t>元。</w:t>
      </w:r>
    </w:p>
    <w:p w14:paraId="133E5CAC">
      <w:pPr>
        <w:spacing w:before="235" w:line="227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十、机关运行经费支出情况</w:t>
      </w:r>
    </w:p>
    <w:p w14:paraId="63F85DF8">
      <w:pPr>
        <w:spacing w:before="241" w:line="372" w:lineRule="auto"/>
        <w:ind w:left="36" w:right="11" w:firstLine="63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2021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年度武汉市蔡甸区统计局机关运行经费支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14.61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比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2020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年度减少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1.05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万元，下降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7.1</w:t>
      </w:r>
      <w:r>
        <w:rPr>
          <w:rFonts w:ascii="仿宋" w:hAnsi="仿宋" w:eastAsia="仿宋" w:cs="仿宋"/>
          <w:spacing w:val="2"/>
          <w:sz w:val="31"/>
          <w:szCs w:val="31"/>
        </w:rPr>
        <w:t>9%。主要原因</w:t>
      </w:r>
    </w:p>
    <w:p w14:paraId="1AC107A0">
      <w:pPr>
        <w:spacing w:before="1" w:line="226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是根据八项规定，厉行节约。</w:t>
      </w:r>
    </w:p>
    <w:p w14:paraId="1ABA0502">
      <w:pPr>
        <w:spacing w:before="243" w:line="228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十一、政府采购支出情况</w:t>
      </w:r>
    </w:p>
    <w:p w14:paraId="21F0DBBB">
      <w:pPr>
        <w:spacing w:before="240" w:line="372" w:lineRule="auto"/>
        <w:ind w:left="36" w:right="11" w:firstLine="63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2021</w:t>
      </w:r>
      <w:r>
        <w:rPr>
          <w:rFonts w:ascii="仿宋" w:hAnsi="仿宋" w:eastAsia="仿宋" w:cs="仿宋"/>
          <w:spacing w:val="-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年度武汉市蔡甸区统计局政府采购支出总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89.98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万元，其中：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政府采购货物支出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10.47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万元、政府采购工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程支出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15.02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万元、政府采购服务支出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64.</w:t>
      </w:r>
      <w:r>
        <w:rPr>
          <w:rFonts w:ascii="仿宋" w:hAnsi="仿宋" w:eastAsia="仿宋" w:cs="仿宋"/>
          <w:spacing w:val="12"/>
          <w:sz w:val="31"/>
          <w:szCs w:val="31"/>
        </w:rPr>
        <w:t>48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万元。授予</w:t>
      </w:r>
    </w:p>
    <w:p w14:paraId="1F204969">
      <w:pPr>
        <w:spacing w:before="1" w:line="227" w:lineRule="auto"/>
        <w:ind w:right="3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8"/>
          <w:sz w:val="31"/>
          <w:szCs w:val="31"/>
        </w:rPr>
        <w:t>中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小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企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业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合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同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金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额 89.98 万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元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， 占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政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府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采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购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支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出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总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额</w:t>
      </w:r>
    </w:p>
    <w:p w14:paraId="2363FC61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3" w:right="1787" w:bottom="0" w:left="1787" w:header="0" w:footer="0" w:gutter="0"/>
          <w:cols w:space="720" w:num="1"/>
        </w:sectPr>
      </w:pPr>
    </w:p>
    <w:p w14:paraId="7BE50128">
      <w:pPr>
        <w:spacing w:before="159" w:line="372" w:lineRule="auto"/>
        <w:ind w:left="42" w:right="14" w:firstLine="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100.00%，其中：授予小微企业合同金额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89.98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占授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予中小企业合同金额的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100.00%；货物采购授予中小</w:t>
      </w:r>
      <w:r>
        <w:rPr>
          <w:rFonts w:ascii="仿宋" w:hAnsi="仿宋" w:eastAsia="仿宋" w:cs="仿宋"/>
          <w:spacing w:val="8"/>
          <w:sz w:val="31"/>
          <w:szCs w:val="31"/>
        </w:rPr>
        <w:t>企业合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同金额占货物支出金额的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11.64%，工程采购授予中小企业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合同金额占工程支出金额的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16.69%，服务采购授予中小企</w:t>
      </w:r>
    </w:p>
    <w:p w14:paraId="45D499AB"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业合同金额占服务支出金额的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71.67%。</w:t>
      </w:r>
    </w:p>
    <w:p w14:paraId="232B4DC7">
      <w:pPr>
        <w:spacing w:before="241" w:line="227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十二、国有资产占用情况</w:t>
      </w:r>
    </w:p>
    <w:p w14:paraId="67C19CC0">
      <w:pPr>
        <w:spacing w:before="238" w:line="372" w:lineRule="auto"/>
        <w:ind w:left="32" w:right="13" w:firstLine="6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截至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12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月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31 日，武汉市蔡甸区统计</w:t>
      </w:r>
      <w:r>
        <w:rPr>
          <w:rFonts w:ascii="仿宋" w:hAnsi="仿宋" w:eastAsia="仿宋" w:cs="仿宋"/>
          <w:spacing w:val="3"/>
          <w:sz w:val="31"/>
          <w:szCs w:val="31"/>
        </w:rPr>
        <w:t>局共有车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辆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辆，其中，副部（省）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级及以上领导用车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辆，主要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领导干部用车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0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辆，机要通信用车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0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辆，应急保障用车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辆、执法执勤用车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辆、特种专业技术用车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辆、离退休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干部用车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辆、其他用车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辆。单价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50 万元(含)以</w:t>
      </w:r>
      <w:r>
        <w:rPr>
          <w:rFonts w:ascii="仿宋" w:hAnsi="仿宋" w:eastAsia="仿宋" w:cs="仿宋"/>
          <w:spacing w:val="6"/>
          <w:sz w:val="31"/>
          <w:szCs w:val="31"/>
        </w:rPr>
        <w:t>上通用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设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备 0 台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(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套)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，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单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价 100 万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元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(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含)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以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上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专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用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设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备 0 台</w:t>
      </w:r>
    </w:p>
    <w:p w14:paraId="1A3497DA">
      <w:pPr>
        <w:spacing w:line="229" w:lineRule="auto"/>
        <w:ind w:left="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(套)。</w:t>
      </w:r>
    </w:p>
    <w:p w14:paraId="35D2E8DB">
      <w:pPr>
        <w:spacing w:before="236" w:line="372" w:lineRule="auto"/>
        <w:ind w:left="36" w:right="247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截至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年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12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月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31 日，部门占有国有资产 352.37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万元，包括固定资产和无形资产。主要固定资产有：房屋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面积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700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平方米，金额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77.11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万元，无车辆。2021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年新增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固定资产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14.09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万元，主要为通用设备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11.64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万元，专用</w:t>
      </w:r>
    </w:p>
    <w:p w14:paraId="32AE929B">
      <w:pPr>
        <w:spacing w:before="1" w:line="228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设备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1.4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万元，家具用具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1.05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万元。</w:t>
      </w:r>
    </w:p>
    <w:p w14:paraId="672E02BF">
      <w:pPr>
        <w:spacing w:before="241" w:line="226" w:lineRule="auto"/>
        <w:ind w:left="5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十三、预算绩效情况说明</w:t>
      </w:r>
    </w:p>
    <w:p w14:paraId="276620A7">
      <w:pPr>
        <w:spacing w:before="138" w:line="229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(一)预算绩效管理工作开展情况</w:t>
      </w:r>
    </w:p>
    <w:p w14:paraId="1F4C71EE">
      <w:pPr>
        <w:pStyle w:val="2"/>
        <w:spacing w:line="241" w:lineRule="auto"/>
      </w:pPr>
    </w:p>
    <w:p w14:paraId="3A586B5A">
      <w:pPr>
        <w:spacing w:before="101" w:line="624" w:lineRule="exact"/>
        <w:ind w:right="13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根据预算绩效管理要求</w:t>
      </w:r>
      <w:r>
        <w:rPr>
          <w:rFonts w:ascii="仿宋" w:hAnsi="仿宋" w:eastAsia="仿宋" w:cs="仿宋"/>
          <w:spacing w:val="-8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，我部门（单位）</w:t>
      </w:r>
      <w:r>
        <w:rPr>
          <w:rFonts w:ascii="仿宋" w:hAnsi="仿宋" w:eastAsia="仿宋" w:cs="仿宋"/>
          <w:spacing w:val="-8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组织对</w:t>
      </w:r>
      <w:r>
        <w:rPr>
          <w:rFonts w:ascii="仿宋" w:hAnsi="仿宋" w:eastAsia="仿宋" w:cs="仿宋"/>
          <w:spacing w:val="-39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2021</w:t>
      </w:r>
    </w:p>
    <w:p w14:paraId="5752119B">
      <w:pPr>
        <w:spacing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年度一般公共预算项目支出全面开展绩效自评，共涉及项</w:t>
      </w:r>
    </w:p>
    <w:p w14:paraId="7E87E6A5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1CAED07B">
      <w:pPr>
        <w:spacing w:before="160" w:line="372" w:lineRule="auto"/>
        <w:ind w:left="52" w:right="14" w:firstLine="3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目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个，资金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668.5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占一般公共预算项目支出总额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75.3%。从绩效评价</w:t>
      </w:r>
      <w:r>
        <w:rPr>
          <w:rFonts w:ascii="仿宋" w:hAnsi="仿宋" w:eastAsia="仿宋" w:cs="仿宋"/>
          <w:spacing w:val="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情况来看，武汉市蔡甸区统计局较</w:t>
      </w:r>
    </w:p>
    <w:p w14:paraId="2F11F9CD"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好地完成了年初与区政府签订的年度绩效目标任务。</w:t>
      </w:r>
    </w:p>
    <w:p w14:paraId="7DD05E43">
      <w:pPr>
        <w:spacing w:before="240" w:line="229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(二)部门（单位）整体支出自评结果</w:t>
      </w:r>
    </w:p>
    <w:p w14:paraId="3F7DABF8">
      <w:pPr>
        <w:spacing w:before="233" w:line="372" w:lineRule="auto"/>
        <w:ind w:left="33" w:right="14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我部门（单位）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组织对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个部门（单位）开展整体支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出绩效自评，资金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1363.56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万元，从评价情况来看: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（1）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扩大对第七次全国人口普查宣传力度，提升公众对人口普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查知晓率，普查知晓达到</w:t>
      </w:r>
      <w:r>
        <w:rPr>
          <w:rFonts w:ascii="仿宋" w:hAnsi="仿宋" w:eastAsia="仿宋" w:cs="仿宋"/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98%。</w:t>
      </w:r>
      <w:r>
        <w:rPr>
          <w:rFonts w:ascii="仿宋" w:hAnsi="仿宋" w:eastAsia="仿宋" w:cs="仿宋"/>
          <w:color w:val="333333"/>
          <w:spacing w:val="-1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（2）今年疫情期间，及时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开展全区发热人员、密接人员信息统计，完善全区医疗物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资收发台账，开展企业复工复产进度情况调查，为打赢疫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情防控阻击战、促进经济平稳发展提供保障。及时整理新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冠肺炎疫情对企业生产经营影响情况的调查数据，密切监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测疫情对经济社会发展的影响，加强分析研判，配合各相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关部门创新和完善区内经济调控机制，积极稳妥有序推动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区内企业复工复产。（3）通过调查问卷分析，社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会公众对</w:t>
      </w:r>
    </w:p>
    <w:p w14:paraId="5FA441F2">
      <w:pPr>
        <w:spacing w:before="1" w:line="225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统计局</w:t>
      </w:r>
      <w:r>
        <w:rPr>
          <w:rFonts w:ascii="仿宋" w:hAnsi="仿宋" w:eastAsia="仿宋" w:cs="仿宋"/>
          <w:color w:val="333333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年度工作满意度</w:t>
      </w:r>
      <w:r>
        <w:rPr>
          <w:rFonts w:ascii="仿宋" w:hAnsi="仿宋" w:eastAsia="仿宋" w:cs="仿宋"/>
          <w:color w:val="333333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93.45%。</w:t>
      </w:r>
    </w:p>
    <w:p w14:paraId="64622166">
      <w:pPr>
        <w:spacing w:before="244" w:line="229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(三)项目支出自评结果</w:t>
      </w:r>
    </w:p>
    <w:p w14:paraId="7FB1F9A0">
      <w:pPr>
        <w:spacing w:before="239" w:line="372" w:lineRule="auto"/>
        <w:ind w:left="38" w:right="11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我部门（单位）在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年度部门决算中反映所有项目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绩效自评结果（不包括涉密项目</w:t>
      </w:r>
      <w:r>
        <w:rPr>
          <w:rFonts w:ascii="仿宋" w:hAnsi="仿宋" w:eastAsia="仿宋" w:cs="仿宋"/>
          <w:spacing w:val="-18"/>
          <w:sz w:val="31"/>
          <w:szCs w:val="31"/>
        </w:rPr>
        <w:t>）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共涉及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4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个一级项</w:t>
      </w:r>
    </w:p>
    <w:p w14:paraId="5787908A">
      <w:pPr>
        <w:spacing w:line="231" w:lineRule="auto"/>
        <w:ind w:left="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5"/>
          <w:sz w:val="31"/>
          <w:szCs w:val="31"/>
        </w:rPr>
        <w:t>目。</w:t>
      </w:r>
    </w:p>
    <w:p w14:paraId="6EF75428">
      <w:pPr>
        <w:spacing w:before="236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position w:val="22"/>
          <w:sz w:val="31"/>
          <w:szCs w:val="31"/>
        </w:rPr>
        <w:t>1.全国第七次人口普查项目绩效自评综述：项目全年</w:t>
      </w:r>
    </w:p>
    <w:p w14:paraId="7C2669E7">
      <w:pPr>
        <w:spacing w:line="226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预算数为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307.14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30</w:t>
      </w:r>
      <w:r>
        <w:rPr>
          <w:rFonts w:ascii="仿宋" w:hAnsi="仿宋" w:eastAsia="仿宋" w:cs="仿宋"/>
          <w:spacing w:val="12"/>
          <w:sz w:val="31"/>
          <w:szCs w:val="31"/>
        </w:rPr>
        <w:t>7.14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万元，完成预算</w:t>
      </w:r>
    </w:p>
    <w:p w14:paraId="09F7DA58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48CB417F">
      <w:pPr>
        <w:spacing w:before="150" w:line="372" w:lineRule="auto"/>
        <w:ind w:left="33" w:right="13" w:firstLine="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100.00%。2.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统计局村（社区）统计专项经费项目全年预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算数为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273.36 万元，执行数为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273.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36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万元，完成预算的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100%。3、统计调查等专项业务费项目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全年预算数为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70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万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元，执行数为</w:t>
      </w:r>
      <w:r>
        <w:rPr>
          <w:rFonts w:ascii="仿宋" w:hAnsi="仿宋" w:eastAsia="仿宋" w:cs="仿宋"/>
          <w:color w:val="333333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62.66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万元，完成预算的</w:t>
      </w:r>
      <w:r>
        <w:rPr>
          <w:rFonts w:ascii="仿宋" w:hAnsi="仿宋" w:eastAsia="仿宋" w:cs="仿宋"/>
          <w:color w:val="333333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89.5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1%。4、统计信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息化建设项目全年预算数为</w:t>
      </w:r>
      <w:r>
        <w:rPr>
          <w:rFonts w:ascii="仿宋" w:hAnsi="仿宋" w:eastAsia="仿宋" w:cs="仿宋"/>
          <w:color w:val="333333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15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万元，执行数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为</w:t>
      </w:r>
      <w:r>
        <w:rPr>
          <w:rFonts w:ascii="仿宋" w:hAnsi="仿宋" w:eastAsia="仿宋" w:cs="仿宋"/>
          <w:color w:val="333333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15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完成预算的</w:t>
      </w:r>
      <w:r>
        <w:rPr>
          <w:rFonts w:ascii="仿宋" w:hAnsi="仿宋" w:eastAsia="仿宋" w:cs="仿宋"/>
          <w:color w:val="333333"/>
          <w:spacing w:val="-1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100%。</w:t>
      </w:r>
      <w:r>
        <w:rPr>
          <w:rFonts w:ascii="仿宋" w:hAnsi="仿宋" w:eastAsia="仿宋" w:cs="仿宋"/>
          <w:spacing w:val="15"/>
          <w:sz w:val="31"/>
          <w:szCs w:val="31"/>
        </w:rPr>
        <w:t>主要产出和效益是：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全面完成了专项项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目的各项目标，保障了部门平稳运转，保障了部门职能的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正常履行，为区委、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区政府的统计工作提供了保障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。绩效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综合评价结果为良。发现的问题及原因：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1.部分普查对象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配合程度不高，统计数据填报质量有待于进一步提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高。2.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普查人员业务不熟，综合素质有待进一步提高。下一步改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进措施：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1.加强基层统计人员的法治教育、业务培训，对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统计人员加强统计调查能力培训，形成常态化培训，积极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引进高素质专业化统计人才。2.加大宣传力度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，特别是统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计法和普查法规的宣传，争取普查对象的主动支持。成员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单位要利用自身工作渠道开展有针对性的宣传。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3.在编制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年度预算时要全面考虑实际情况，提高认识，加强预算管</w:t>
      </w:r>
    </w:p>
    <w:p w14:paraId="5E30F173">
      <w:pPr>
        <w:spacing w:before="1"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理的重视，树立绩效理念。</w:t>
      </w:r>
    </w:p>
    <w:p w14:paraId="12942B6C">
      <w:pPr>
        <w:spacing w:before="240" w:line="229" w:lineRule="auto"/>
        <w:ind w:left="88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"/>
          <w:sz w:val="31"/>
          <w:szCs w:val="31"/>
        </w:rPr>
        <w:t>(四)绩效自评结果应用情况</w:t>
      </w:r>
    </w:p>
    <w:p w14:paraId="2B576705">
      <w:pPr>
        <w:spacing w:before="238" w:line="372" w:lineRule="auto"/>
        <w:ind w:left="36" w:right="12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2"/>
          <w:sz w:val="31"/>
          <w:szCs w:val="31"/>
        </w:rPr>
        <w:t>本年度经费执行情况较好，整体绩效达到目标值，今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后要加强支出的管理，在年度中期及时向区财政申请指标</w:t>
      </w:r>
    </w:p>
    <w:p w14:paraId="3181AF5E">
      <w:pPr>
        <w:spacing w:before="1" w:line="225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调减，故要进行相关执行工作上的改进。加强财务监督和</w:t>
      </w:r>
    </w:p>
    <w:p w14:paraId="5EBE62F8"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61BB72B9">
      <w:pPr>
        <w:spacing w:before="159" w:line="372" w:lineRule="auto"/>
        <w:ind w:left="36" w:right="14" w:firstLine="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绩效评价，把绩效管理的理念和方法引入经费的管理，逐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步建立起以强化资金使用效益为核心的绩效评价体系。今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后会进一步完善财务监督制度，强化重大项目经费的全过</w:t>
      </w:r>
    </w:p>
    <w:p w14:paraId="43380841">
      <w:pPr>
        <w:spacing w:before="1"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程审计。</w:t>
      </w:r>
    </w:p>
    <w:p w14:paraId="0115B876">
      <w:pPr>
        <w:spacing w:before="241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0"/>
          <w:position w:val="23"/>
          <w:sz w:val="31"/>
          <w:szCs w:val="31"/>
        </w:rPr>
        <w:t>见附件：2021</w:t>
      </w:r>
      <w:r>
        <w:rPr>
          <w:rFonts w:ascii="仿宋" w:hAnsi="仿宋" w:eastAsia="仿宋" w:cs="仿宋"/>
          <w:color w:val="333333"/>
          <w:spacing w:val="-4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position w:val="23"/>
          <w:sz w:val="31"/>
          <w:szCs w:val="31"/>
        </w:rPr>
        <w:t>年度区统计局项目支出绩效评价报告</w:t>
      </w:r>
      <w:r>
        <w:rPr>
          <w:rFonts w:ascii="仿宋" w:hAnsi="仿宋" w:eastAsia="仿宋" w:cs="仿宋"/>
          <w:color w:val="333333"/>
          <w:spacing w:val="9"/>
          <w:position w:val="23"/>
          <w:sz w:val="31"/>
          <w:szCs w:val="31"/>
        </w:rPr>
        <w:t>（部</w:t>
      </w:r>
    </w:p>
    <w:p w14:paraId="32501E4C">
      <w:pPr>
        <w:spacing w:line="227" w:lineRule="auto"/>
        <w:ind w:left="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门整体与项目）</w:t>
      </w:r>
    </w:p>
    <w:p w14:paraId="5B0809F3">
      <w:pPr>
        <w:pStyle w:val="2"/>
        <w:spacing w:line="248" w:lineRule="auto"/>
      </w:pPr>
    </w:p>
    <w:p w14:paraId="5AB290E9">
      <w:pPr>
        <w:pStyle w:val="2"/>
        <w:spacing w:line="248" w:lineRule="auto"/>
      </w:pPr>
    </w:p>
    <w:p w14:paraId="707262F7">
      <w:pPr>
        <w:pStyle w:val="2"/>
        <w:spacing w:line="248" w:lineRule="auto"/>
      </w:pPr>
    </w:p>
    <w:p w14:paraId="505B38DE">
      <w:pPr>
        <w:pStyle w:val="2"/>
        <w:spacing w:line="248" w:lineRule="auto"/>
      </w:pPr>
    </w:p>
    <w:p w14:paraId="634659D0">
      <w:pPr>
        <w:pStyle w:val="2"/>
        <w:spacing w:line="248" w:lineRule="auto"/>
      </w:pPr>
    </w:p>
    <w:p w14:paraId="3F9070BE">
      <w:pPr>
        <w:pStyle w:val="2"/>
        <w:spacing w:line="248" w:lineRule="auto"/>
      </w:pPr>
    </w:p>
    <w:p w14:paraId="29C93A4C">
      <w:pPr>
        <w:pStyle w:val="2"/>
        <w:spacing w:line="248" w:lineRule="auto"/>
      </w:pPr>
    </w:p>
    <w:p w14:paraId="5957F2D8">
      <w:pPr>
        <w:pStyle w:val="2"/>
        <w:spacing w:line="249" w:lineRule="auto"/>
      </w:pPr>
    </w:p>
    <w:p w14:paraId="5AAC2F22">
      <w:pPr>
        <w:pStyle w:val="2"/>
        <w:spacing w:line="249" w:lineRule="auto"/>
      </w:pPr>
    </w:p>
    <w:p w14:paraId="02FCB03A">
      <w:pPr>
        <w:pStyle w:val="2"/>
        <w:spacing w:line="249" w:lineRule="auto"/>
      </w:pPr>
    </w:p>
    <w:p w14:paraId="61C71E81">
      <w:pPr>
        <w:pStyle w:val="2"/>
        <w:spacing w:line="249" w:lineRule="auto"/>
      </w:pPr>
    </w:p>
    <w:p w14:paraId="1FD885C8">
      <w:pPr>
        <w:pStyle w:val="2"/>
        <w:spacing w:line="249" w:lineRule="auto"/>
      </w:pPr>
    </w:p>
    <w:p w14:paraId="05EBFE67">
      <w:pPr>
        <w:spacing w:before="153" w:line="224" w:lineRule="auto"/>
        <w:ind w:left="271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第四部分</w:t>
      </w:r>
      <w:r>
        <w:rPr>
          <w:rFonts w:ascii="宋体" w:hAnsi="宋体" w:eastAsia="宋体" w:cs="宋体"/>
          <w:spacing w:val="7"/>
          <w:sz w:val="47"/>
          <w:szCs w:val="47"/>
        </w:rPr>
        <w:t xml:space="preserve"> 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77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年重点工作完成情况</w:t>
      </w:r>
    </w:p>
    <w:p w14:paraId="7FE17CA3">
      <w:pPr>
        <w:pStyle w:val="2"/>
        <w:spacing w:line="275" w:lineRule="auto"/>
      </w:pPr>
    </w:p>
    <w:p w14:paraId="6A585844">
      <w:pPr>
        <w:pStyle w:val="2"/>
        <w:spacing w:line="276" w:lineRule="auto"/>
      </w:pPr>
    </w:p>
    <w:p w14:paraId="5E0BD97B">
      <w:pPr>
        <w:pStyle w:val="2"/>
        <w:spacing w:line="276" w:lineRule="auto"/>
      </w:pPr>
    </w:p>
    <w:p w14:paraId="52EDCE6A">
      <w:pPr>
        <w:spacing w:before="101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一、重点工作事项标题</w:t>
      </w:r>
    </w:p>
    <w:p w14:paraId="0C26CAEC">
      <w:pPr>
        <w:pStyle w:val="2"/>
        <w:spacing w:line="243" w:lineRule="auto"/>
      </w:pPr>
    </w:p>
    <w:p w14:paraId="7FE773F8">
      <w:pPr>
        <w:spacing w:before="101" w:line="624" w:lineRule="exact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2"/>
          <w:sz w:val="31"/>
          <w:szCs w:val="31"/>
        </w:rPr>
        <w:t>1、第七次全国人口普查</w:t>
      </w:r>
    </w:p>
    <w:p w14:paraId="57AF5DEE">
      <w:pPr>
        <w:spacing w:before="2" w:line="225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2、公布统计数据</w:t>
      </w:r>
    </w:p>
    <w:p w14:paraId="3C02AD06">
      <w:pPr>
        <w:spacing w:before="245" w:line="227" w:lineRule="auto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3、统计数据分析预判</w:t>
      </w:r>
    </w:p>
    <w:p w14:paraId="2A822CC6">
      <w:pPr>
        <w:spacing w:before="243" w:line="226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4、研判全区经济运行情况</w:t>
      </w:r>
    </w:p>
    <w:p w14:paraId="6056268A">
      <w:pPr>
        <w:spacing w:before="243" w:line="226" w:lineRule="auto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5、加强统计工作人员培训</w:t>
      </w:r>
    </w:p>
    <w:p w14:paraId="4488CB96">
      <w:pPr>
        <w:spacing w:before="140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二、重点工作事项标题</w:t>
      </w:r>
    </w:p>
    <w:p w14:paraId="6F5E5B44">
      <w:pPr>
        <w:pStyle w:val="2"/>
        <w:spacing w:line="243" w:lineRule="auto"/>
      </w:pPr>
    </w:p>
    <w:p w14:paraId="3D453C15">
      <w:pPr>
        <w:spacing w:before="101" w:line="624" w:lineRule="exact"/>
        <w:ind w:right="1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2"/>
          <w:position w:val="22"/>
          <w:sz w:val="31"/>
          <w:szCs w:val="31"/>
        </w:rPr>
        <w:t>做好第七次全国人口普查，全面、准确摸清我区人口</w:t>
      </w:r>
    </w:p>
    <w:p w14:paraId="24E98AB1">
      <w:pPr>
        <w:spacing w:before="1" w:line="225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状况。及时发布</w:t>
      </w:r>
      <w:r>
        <w:rPr>
          <w:rFonts w:ascii="仿宋" w:hAnsi="仿宋" w:eastAsia="仿宋" w:cs="仿宋"/>
          <w:color w:val="333333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20</w:t>
      </w:r>
      <w:r>
        <w:rPr>
          <w:rFonts w:hint="eastAsia" w:ascii="仿宋" w:hAnsi="仿宋" w:eastAsia="仿宋" w:cs="仿宋"/>
          <w:color w:val="333333"/>
          <w:spacing w:val="18"/>
          <w:sz w:val="31"/>
          <w:szCs w:val="31"/>
          <w:lang w:val="en-US" w:eastAsia="zh-CN"/>
        </w:rPr>
        <w:t>21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年</w:t>
      </w:r>
      <w:bookmarkStart w:id="0" w:name="_GoBack"/>
      <w:bookmarkEnd w:id="0"/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度统计公报，及时监测预警，及时</w:t>
      </w:r>
    </w:p>
    <w:p w14:paraId="3394E272"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3B31FB52">
      <w:pPr>
        <w:spacing w:before="161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position w:val="23"/>
          <w:sz w:val="31"/>
          <w:szCs w:val="31"/>
        </w:rPr>
        <w:t>向区领导和相关部门反馈监测数据，及时加强部门沟通和</w:t>
      </w:r>
    </w:p>
    <w:p w14:paraId="74DA081C">
      <w:pPr>
        <w:spacing w:before="1" w:line="225" w:lineRule="auto"/>
        <w:ind w:left="2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衔接，提出相关建议，充分发挥监测预警作用。</w:t>
      </w:r>
    </w:p>
    <w:p w14:paraId="63D3C586">
      <w:pPr>
        <w:spacing w:line="90" w:lineRule="exact"/>
      </w:pPr>
    </w:p>
    <w:tbl>
      <w:tblPr>
        <w:tblStyle w:val="5"/>
        <w:tblW w:w="846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2071"/>
        <w:gridCol w:w="4213"/>
        <w:gridCol w:w="1335"/>
      </w:tblGrid>
      <w:tr w14:paraId="5548C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844" w:type="dxa"/>
            <w:vAlign w:val="top"/>
          </w:tcPr>
          <w:p w14:paraId="6B35BCBE">
            <w:pPr>
              <w:rPr>
                <w:rFonts w:ascii="Arial"/>
                <w:sz w:val="21"/>
              </w:rPr>
            </w:pPr>
          </w:p>
          <w:p w14:paraId="110F4B1A">
            <w:pPr>
              <w:spacing w:before="78" w:line="218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071" w:type="dxa"/>
            <w:vAlign w:val="top"/>
          </w:tcPr>
          <w:p w14:paraId="6106433D">
            <w:pPr>
              <w:rPr>
                <w:rFonts w:ascii="Arial"/>
                <w:sz w:val="21"/>
              </w:rPr>
            </w:pPr>
          </w:p>
          <w:p w14:paraId="60BADE41">
            <w:pPr>
              <w:spacing w:before="78" w:line="218" w:lineRule="auto"/>
              <w:ind w:left="55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重要事项</w:t>
            </w:r>
          </w:p>
        </w:tc>
        <w:tc>
          <w:tcPr>
            <w:tcW w:w="4213" w:type="dxa"/>
            <w:vAlign w:val="top"/>
          </w:tcPr>
          <w:p w14:paraId="062799CC">
            <w:pPr>
              <w:rPr>
                <w:rFonts w:ascii="Arial"/>
                <w:sz w:val="21"/>
              </w:rPr>
            </w:pPr>
          </w:p>
          <w:p w14:paraId="3480E1C4">
            <w:pPr>
              <w:spacing w:before="78" w:line="218" w:lineRule="auto"/>
              <w:ind w:left="1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工作内容及目标</w:t>
            </w:r>
          </w:p>
        </w:tc>
        <w:tc>
          <w:tcPr>
            <w:tcW w:w="1335" w:type="dxa"/>
            <w:vAlign w:val="top"/>
          </w:tcPr>
          <w:p w14:paraId="01AB4920">
            <w:pPr>
              <w:rPr>
                <w:rFonts w:ascii="Arial"/>
                <w:sz w:val="21"/>
              </w:rPr>
            </w:pPr>
          </w:p>
          <w:p w14:paraId="7084B380">
            <w:pPr>
              <w:spacing w:before="78" w:line="218" w:lineRule="auto"/>
              <w:ind w:left="19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完成情况</w:t>
            </w:r>
          </w:p>
        </w:tc>
      </w:tr>
      <w:tr w14:paraId="015AE9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44" w:type="dxa"/>
            <w:vAlign w:val="top"/>
          </w:tcPr>
          <w:p w14:paraId="7C4D5D1A">
            <w:pPr>
              <w:spacing w:line="253" w:lineRule="auto"/>
              <w:rPr>
                <w:rFonts w:ascii="Arial"/>
                <w:sz w:val="21"/>
              </w:rPr>
            </w:pPr>
          </w:p>
          <w:p w14:paraId="1C106DFC">
            <w:pPr>
              <w:pStyle w:val="6"/>
              <w:spacing w:before="65" w:line="187" w:lineRule="auto"/>
              <w:ind w:left="382"/>
            </w:pPr>
            <w:r>
              <w:t>1</w:t>
            </w:r>
          </w:p>
        </w:tc>
        <w:tc>
          <w:tcPr>
            <w:tcW w:w="2071" w:type="dxa"/>
            <w:vAlign w:val="top"/>
          </w:tcPr>
          <w:p w14:paraId="61FCF928">
            <w:pPr>
              <w:pStyle w:val="6"/>
              <w:spacing w:before="284" w:line="231" w:lineRule="auto"/>
              <w:ind w:left="311"/>
            </w:pPr>
            <w:r>
              <w:rPr>
                <w:spacing w:val="6"/>
              </w:rPr>
              <w:t>第七次人口普查</w:t>
            </w:r>
          </w:p>
        </w:tc>
        <w:tc>
          <w:tcPr>
            <w:tcW w:w="4213" w:type="dxa"/>
            <w:vAlign w:val="top"/>
          </w:tcPr>
          <w:p w14:paraId="103654FC">
            <w:pPr>
              <w:pStyle w:val="6"/>
              <w:spacing w:before="105" w:line="280" w:lineRule="auto"/>
              <w:ind w:left="119" w:right="109" w:hanging="2"/>
            </w:pPr>
            <w:r>
              <w:rPr>
                <w:spacing w:val="8"/>
              </w:rPr>
              <w:t>完成全区第七次全国人口普查调查任务，达</w:t>
            </w:r>
            <w:r>
              <w:rPr>
                <w:spacing w:val="17"/>
              </w:rPr>
              <w:t xml:space="preserve"> </w:t>
            </w:r>
            <w:r>
              <w:rPr>
                <w:spacing w:val="7"/>
              </w:rPr>
              <w:t>到国家检查验收标准</w:t>
            </w:r>
          </w:p>
        </w:tc>
        <w:tc>
          <w:tcPr>
            <w:tcW w:w="1335" w:type="dxa"/>
            <w:vAlign w:val="top"/>
          </w:tcPr>
          <w:p w14:paraId="52B17EB0">
            <w:pPr>
              <w:pStyle w:val="6"/>
              <w:spacing w:before="284" w:line="232" w:lineRule="auto"/>
              <w:ind w:left="469"/>
            </w:pPr>
            <w:r>
              <w:rPr>
                <w:spacing w:val="-1"/>
              </w:rPr>
              <w:t>完成</w:t>
            </w:r>
          </w:p>
        </w:tc>
      </w:tr>
      <w:tr w14:paraId="38CFE0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844" w:type="dxa"/>
            <w:vAlign w:val="top"/>
          </w:tcPr>
          <w:p w14:paraId="4DFFE204">
            <w:pPr>
              <w:spacing w:line="434" w:lineRule="auto"/>
              <w:rPr>
                <w:rFonts w:ascii="Arial"/>
                <w:sz w:val="21"/>
              </w:rPr>
            </w:pPr>
          </w:p>
          <w:p w14:paraId="79204DE2">
            <w:pPr>
              <w:pStyle w:val="6"/>
              <w:spacing w:before="65" w:line="186" w:lineRule="auto"/>
              <w:ind w:left="370"/>
            </w:pPr>
            <w:r>
              <w:t>2</w:t>
            </w:r>
          </w:p>
        </w:tc>
        <w:tc>
          <w:tcPr>
            <w:tcW w:w="2071" w:type="dxa"/>
            <w:vAlign w:val="top"/>
          </w:tcPr>
          <w:p w14:paraId="3099BB2A">
            <w:pPr>
              <w:spacing w:line="398" w:lineRule="auto"/>
              <w:rPr>
                <w:rFonts w:ascii="Arial"/>
                <w:sz w:val="21"/>
              </w:rPr>
            </w:pPr>
          </w:p>
          <w:p w14:paraId="282132CC">
            <w:pPr>
              <w:pStyle w:val="6"/>
              <w:spacing w:before="65" w:line="229" w:lineRule="auto"/>
              <w:ind w:left="412"/>
            </w:pPr>
            <w:r>
              <w:rPr>
                <w:spacing w:val="6"/>
              </w:rPr>
              <w:t>公布统计数据</w:t>
            </w:r>
          </w:p>
        </w:tc>
        <w:tc>
          <w:tcPr>
            <w:tcW w:w="4213" w:type="dxa"/>
            <w:vAlign w:val="top"/>
          </w:tcPr>
          <w:p w14:paraId="208BBD72">
            <w:pPr>
              <w:pStyle w:val="6"/>
              <w:spacing w:before="105" w:line="298" w:lineRule="auto"/>
              <w:ind w:left="113" w:right="109"/>
              <w:jc w:val="both"/>
            </w:pPr>
            <w:r>
              <w:rPr>
                <w:spacing w:val="9"/>
              </w:rPr>
              <w:t>按照上级统计部门要求，推进全区战略性新</w:t>
            </w:r>
            <w:r>
              <w:rPr>
                <w:spacing w:val="3"/>
              </w:rPr>
              <w:t xml:space="preserve"> </w:t>
            </w:r>
            <w:r>
              <w:rPr>
                <w:spacing w:val="6"/>
              </w:rPr>
              <w:t>兴产业、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民营经济等指标统计体系建设，并</w:t>
            </w:r>
            <w:r>
              <w:t xml:space="preserve"> </w:t>
            </w:r>
            <w:r>
              <w:rPr>
                <w:spacing w:val="7"/>
              </w:rPr>
              <w:t>按期公布统计数据。</w:t>
            </w:r>
          </w:p>
        </w:tc>
        <w:tc>
          <w:tcPr>
            <w:tcW w:w="1335" w:type="dxa"/>
            <w:vAlign w:val="top"/>
          </w:tcPr>
          <w:p w14:paraId="40D26A1C">
            <w:pPr>
              <w:spacing w:line="398" w:lineRule="auto"/>
              <w:rPr>
                <w:rFonts w:ascii="Arial"/>
                <w:sz w:val="21"/>
              </w:rPr>
            </w:pPr>
          </w:p>
          <w:p w14:paraId="3DB0469A">
            <w:pPr>
              <w:pStyle w:val="6"/>
              <w:spacing w:before="65" w:line="232" w:lineRule="auto"/>
              <w:ind w:left="469"/>
            </w:pPr>
            <w:r>
              <w:rPr>
                <w:spacing w:val="-1"/>
              </w:rPr>
              <w:t>完成</w:t>
            </w:r>
          </w:p>
        </w:tc>
      </w:tr>
      <w:tr w14:paraId="774BBE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844" w:type="dxa"/>
            <w:tcBorders>
              <w:bottom w:val="single" w:color="000000" w:sz="2" w:space="0"/>
            </w:tcBorders>
            <w:vAlign w:val="top"/>
          </w:tcPr>
          <w:p w14:paraId="1B405E05">
            <w:pPr>
              <w:pStyle w:val="6"/>
              <w:spacing w:before="269" w:line="186" w:lineRule="auto"/>
              <w:ind w:left="371"/>
            </w:pPr>
            <w:r>
              <w:t>3</w:t>
            </w:r>
          </w:p>
        </w:tc>
        <w:tc>
          <w:tcPr>
            <w:tcW w:w="2071" w:type="dxa"/>
            <w:tcBorders>
              <w:bottom w:val="single" w:color="000000" w:sz="2" w:space="0"/>
            </w:tcBorders>
            <w:vAlign w:val="top"/>
          </w:tcPr>
          <w:p w14:paraId="2621167B">
            <w:pPr>
              <w:pStyle w:val="6"/>
              <w:spacing w:before="233" w:line="230" w:lineRule="auto"/>
              <w:ind w:left="201"/>
            </w:pPr>
            <w:r>
              <w:rPr>
                <w:spacing w:val="7"/>
              </w:rPr>
              <w:t>统计数据分析研判</w:t>
            </w:r>
          </w:p>
        </w:tc>
        <w:tc>
          <w:tcPr>
            <w:tcW w:w="4213" w:type="dxa"/>
            <w:tcBorders>
              <w:bottom w:val="single" w:color="000000" w:sz="2" w:space="0"/>
            </w:tcBorders>
            <w:vAlign w:val="top"/>
          </w:tcPr>
          <w:p w14:paraId="33F37A02">
            <w:pPr>
              <w:pStyle w:val="6"/>
              <w:spacing w:before="233" w:line="229" w:lineRule="auto"/>
              <w:ind w:left="115"/>
            </w:pPr>
            <w:r>
              <w:rPr>
                <w:spacing w:val="8"/>
              </w:rPr>
              <w:t>及时为区委区政府决策提供前瞻性参考</w:t>
            </w:r>
          </w:p>
        </w:tc>
        <w:tc>
          <w:tcPr>
            <w:tcW w:w="1335" w:type="dxa"/>
            <w:tcBorders>
              <w:bottom w:val="single" w:color="000000" w:sz="2" w:space="0"/>
            </w:tcBorders>
            <w:vAlign w:val="top"/>
          </w:tcPr>
          <w:p w14:paraId="04555A73">
            <w:pPr>
              <w:pStyle w:val="6"/>
              <w:spacing w:before="233" w:line="232" w:lineRule="auto"/>
              <w:ind w:left="469"/>
            </w:pPr>
            <w:r>
              <w:rPr>
                <w:spacing w:val="-1"/>
              </w:rPr>
              <w:t>完成</w:t>
            </w:r>
          </w:p>
        </w:tc>
      </w:tr>
      <w:tr w14:paraId="688FD0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8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7CA3690E">
            <w:pPr>
              <w:spacing w:line="438" w:lineRule="auto"/>
              <w:rPr>
                <w:rFonts w:ascii="Arial"/>
                <w:sz w:val="21"/>
              </w:rPr>
            </w:pPr>
          </w:p>
          <w:p w14:paraId="0510A3D2">
            <w:pPr>
              <w:pStyle w:val="6"/>
              <w:spacing w:before="65" w:line="186" w:lineRule="auto"/>
              <w:ind w:left="371"/>
            </w:pPr>
            <w:r>
              <w:t>4</w:t>
            </w:r>
          </w:p>
        </w:tc>
        <w:tc>
          <w:tcPr>
            <w:tcW w:w="2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0565F0B">
            <w:pPr>
              <w:pStyle w:val="6"/>
              <w:spacing w:before="289" w:line="283" w:lineRule="auto"/>
              <w:ind w:left="832" w:right="199" w:hanging="631"/>
            </w:pPr>
            <w:r>
              <w:rPr>
                <w:spacing w:val="8"/>
              </w:rPr>
              <w:t>研判全区经济运行</w:t>
            </w:r>
            <w:r>
              <w:t xml:space="preserve"> </w:t>
            </w:r>
            <w:r>
              <w:rPr>
                <w:spacing w:val="2"/>
              </w:rPr>
              <w:t>状况</w:t>
            </w:r>
          </w:p>
        </w:tc>
        <w:tc>
          <w:tcPr>
            <w:tcW w:w="42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0ED617DE">
            <w:pPr>
              <w:pStyle w:val="6"/>
              <w:spacing w:before="108" w:line="297" w:lineRule="auto"/>
              <w:ind w:left="117" w:right="114" w:firstLine="3"/>
              <w:jc w:val="both"/>
            </w:pPr>
            <w:r>
              <w:rPr>
                <w:spacing w:val="9"/>
              </w:rPr>
              <w:t>准确研判全区经济运行状况、发展趋势，按</w:t>
            </w:r>
            <w:r>
              <w:t xml:space="preserve"> </w:t>
            </w:r>
            <w:r>
              <w:rPr>
                <w:spacing w:val="9"/>
              </w:rPr>
              <w:t>时提供绩效指标执行情况统计数据及相关分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析材料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05C2281D">
            <w:pPr>
              <w:spacing w:line="401" w:lineRule="auto"/>
              <w:rPr>
                <w:rFonts w:ascii="Arial"/>
                <w:sz w:val="21"/>
              </w:rPr>
            </w:pPr>
          </w:p>
          <w:p w14:paraId="03117265">
            <w:pPr>
              <w:pStyle w:val="6"/>
              <w:spacing w:before="65" w:line="232" w:lineRule="auto"/>
              <w:ind w:left="474"/>
            </w:pPr>
            <w:r>
              <w:rPr>
                <w:spacing w:val="-1"/>
              </w:rPr>
              <w:t>完成</w:t>
            </w:r>
          </w:p>
        </w:tc>
      </w:tr>
      <w:tr w14:paraId="473116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7" w:hRule="atLeast"/>
        </w:trPr>
        <w:tc>
          <w:tcPr>
            <w:tcW w:w="8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6027379F">
            <w:pPr>
              <w:spacing w:line="256" w:lineRule="auto"/>
              <w:rPr>
                <w:rFonts w:ascii="Arial"/>
                <w:sz w:val="21"/>
              </w:rPr>
            </w:pPr>
          </w:p>
          <w:p w14:paraId="61197117">
            <w:pPr>
              <w:spacing w:line="256" w:lineRule="auto"/>
              <w:rPr>
                <w:rFonts w:ascii="Arial"/>
                <w:sz w:val="21"/>
              </w:rPr>
            </w:pPr>
          </w:p>
          <w:p w14:paraId="2938B045">
            <w:pPr>
              <w:spacing w:line="256" w:lineRule="auto"/>
              <w:rPr>
                <w:rFonts w:ascii="Arial"/>
                <w:sz w:val="21"/>
              </w:rPr>
            </w:pPr>
          </w:p>
          <w:p w14:paraId="42812A7B">
            <w:pPr>
              <w:spacing w:line="256" w:lineRule="auto"/>
              <w:rPr>
                <w:rFonts w:ascii="Arial"/>
                <w:sz w:val="21"/>
              </w:rPr>
            </w:pPr>
          </w:p>
          <w:p w14:paraId="49462935">
            <w:pPr>
              <w:spacing w:line="256" w:lineRule="auto"/>
              <w:rPr>
                <w:rFonts w:ascii="Arial"/>
                <w:sz w:val="21"/>
              </w:rPr>
            </w:pPr>
          </w:p>
          <w:p w14:paraId="111DF1E2">
            <w:pPr>
              <w:spacing w:line="257" w:lineRule="auto"/>
              <w:rPr>
                <w:rFonts w:ascii="Arial"/>
                <w:sz w:val="21"/>
              </w:rPr>
            </w:pPr>
          </w:p>
          <w:p w14:paraId="253F2D0E">
            <w:pPr>
              <w:spacing w:line="257" w:lineRule="auto"/>
              <w:rPr>
                <w:rFonts w:ascii="Arial"/>
                <w:sz w:val="21"/>
              </w:rPr>
            </w:pPr>
          </w:p>
          <w:p w14:paraId="4E8D709C">
            <w:pPr>
              <w:spacing w:line="257" w:lineRule="auto"/>
              <w:rPr>
                <w:rFonts w:ascii="Arial"/>
                <w:sz w:val="21"/>
              </w:rPr>
            </w:pPr>
          </w:p>
          <w:p w14:paraId="59F49F07">
            <w:pPr>
              <w:pStyle w:val="6"/>
              <w:spacing w:before="65" w:line="184" w:lineRule="auto"/>
              <w:ind w:left="376"/>
            </w:pPr>
            <w:r>
              <w:t>5</w:t>
            </w:r>
          </w:p>
        </w:tc>
        <w:tc>
          <w:tcPr>
            <w:tcW w:w="2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28C748BC">
            <w:pPr>
              <w:spacing w:line="275" w:lineRule="auto"/>
              <w:rPr>
                <w:rFonts w:ascii="Arial"/>
                <w:sz w:val="21"/>
              </w:rPr>
            </w:pPr>
          </w:p>
          <w:p w14:paraId="4CAD2646">
            <w:pPr>
              <w:spacing w:line="276" w:lineRule="auto"/>
              <w:rPr>
                <w:rFonts w:ascii="Arial"/>
                <w:sz w:val="21"/>
              </w:rPr>
            </w:pPr>
          </w:p>
          <w:p w14:paraId="191B2494">
            <w:pPr>
              <w:spacing w:line="276" w:lineRule="auto"/>
              <w:rPr>
                <w:rFonts w:ascii="Arial"/>
                <w:sz w:val="21"/>
              </w:rPr>
            </w:pPr>
          </w:p>
          <w:p w14:paraId="57435BA7">
            <w:pPr>
              <w:spacing w:line="276" w:lineRule="auto"/>
              <w:rPr>
                <w:rFonts w:ascii="Arial"/>
                <w:sz w:val="21"/>
              </w:rPr>
            </w:pPr>
          </w:p>
          <w:p w14:paraId="6BD0B55D">
            <w:pPr>
              <w:spacing w:line="276" w:lineRule="auto"/>
              <w:rPr>
                <w:rFonts w:ascii="Arial"/>
                <w:sz w:val="21"/>
              </w:rPr>
            </w:pPr>
          </w:p>
          <w:p w14:paraId="67295EF2">
            <w:pPr>
              <w:spacing w:line="276" w:lineRule="auto"/>
              <w:rPr>
                <w:rFonts w:ascii="Arial"/>
                <w:sz w:val="21"/>
              </w:rPr>
            </w:pPr>
          </w:p>
          <w:p w14:paraId="4D6EE081">
            <w:pPr>
              <w:pStyle w:val="6"/>
              <w:spacing w:before="65" w:line="282" w:lineRule="auto"/>
              <w:ind w:left="833" w:right="199" w:hanging="632"/>
            </w:pPr>
            <w:r>
              <w:rPr>
                <w:spacing w:val="8"/>
              </w:rPr>
              <w:t>加强统计工作人员</w:t>
            </w:r>
            <w:r>
              <w:t xml:space="preserve"> </w:t>
            </w:r>
            <w:r>
              <w:rPr>
                <w:spacing w:val="1"/>
              </w:rPr>
              <w:t>培训</w:t>
            </w:r>
          </w:p>
        </w:tc>
        <w:tc>
          <w:tcPr>
            <w:tcW w:w="42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3759703E">
            <w:pPr>
              <w:pStyle w:val="6"/>
              <w:spacing w:before="105" w:line="324" w:lineRule="auto"/>
              <w:ind w:left="117" w:right="100"/>
            </w:pPr>
            <w:r>
              <w:rPr>
                <w:spacing w:val="6"/>
              </w:rPr>
              <w:t>加强</w:t>
            </w:r>
            <w:r>
              <w:rPr>
                <w:rFonts w:ascii="宋体" w:hAnsi="宋体" w:eastAsia="宋体" w:cs="宋体"/>
                <w:spacing w:val="6"/>
              </w:rPr>
              <w:t>“</w:t>
            </w:r>
            <w:r>
              <w:rPr>
                <w:rFonts w:ascii="宋体" w:hAnsi="宋体" w:eastAsia="宋体" w:cs="宋体"/>
                <w:spacing w:val="-53"/>
              </w:rPr>
              <w:t xml:space="preserve"> </w:t>
            </w:r>
            <w:r>
              <w:rPr>
                <w:spacing w:val="6"/>
              </w:rPr>
              <w:t>四上</w:t>
            </w:r>
            <w:r>
              <w:rPr>
                <w:spacing w:val="-7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</w:rPr>
              <w:t>”</w:t>
            </w:r>
            <w:r>
              <w:rPr>
                <w:spacing w:val="6"/>
              </w:rPr>
              <w:t>企业统计人员培训，分专业、</w:t>
            </w:r>
            <w:r>
              <w:t xml:space="preserve"> </w:t>
            </w:r>
            <w:r>
              <w:rPr>
                <w:spacing w:val="10"/>
              </w:rPr>
              <w:t>分行业举办统计业务知识培训，利用召开专</w:t>
            </w:r>
            <w:r>
              <w:t xml:space="preserve"> </w:t>
            </w:r>
            <w:r>
              <w:rPr>
                <w:spacing w:val="5"/>
              </w:rPr>
              <w:t>业统计工作布置会、</w:t>
            </w:r>
            <w:r>
              <w:rPr>
                <w:spacing w:val="-51"/>
              </w:rPr>
              <w:t xml:space="preserve"> </w:t>
            </w:r>
            <w:r>
              <w:rPr>
                <w:spacing w:val="5"/>
              </w:rPr>
              <w:t>网络视频、</w:t>
            </w:r>
            <w:r>
              <w:rPr>
                <w:spacing w:val="-55"/>
              </w:rPr>
              <w:t xml:space="preserve"> </w:t>
            </w:r>
            <w:r>
              <w:rPr>
                <w:spacing w:val="5"/>
              </w:rPr>
              <w:t>电话沟通、</w:t>
            </w:r>
            <w:r>
              <w:t xml:space="preserve"> </w:t>
            </w:r>
            <w:r>
              <w:rPr>
                <w:spacing w:val="10"/>
              </w:rPr>
              <w:t>进企业等机会，开展对企业统计人员的业务</w:t>
            </w:r>
            <w:r>
              <w:t xml:space="preserve"> </w:t>
            </w:r>
            <w:r>
              <w:rPr>
                <w:spacing w:val="10"/>
              </w:rPr>
              <w:t>知识培训。定期开展统计执法和指导，扩大</w:t>
            </w:r>
            <w:r>
              <w:t xml:space="preserve"> </w:t>
            </w:r>
            <w:r>
              <w:rPr>
                <w:spacing w:val="10"/>
              </w:rPr>
              <w:t>培训对象范围。广泛宣传《统计法》《统计</w:t>
            </w:r>
            <w:r>
              <w:t xml:space="preserve"> </w:t>
            </w:r>
            <w:r>
              <w:rPr>
                <w:spacing w:val="10"/>
              </w:rPr>
              <w:t>法实施条例》等法律法规，推动统计法律法</w:t>
            </w:r>
            <w:r>
              <w:t xml:space="preserve"> </w:t>
            </w:r>
            <w:r>
              <w:rPr>
                <w:spacing w:val="10"/>
              </w:rPr>
              <w:t>规进社区、进机关、进企业、进党校，为提</w:t>
            </w:r>
            <w:r>
              <w:t xml:space="preserve"> </w:t>
            </w:r>
            <w:r>
              <w:rPr>
                <w:spacing w:val="10"/>
              </w:rPr>
              <w:t>高统计数据质量提供法律保障。今年以来开</w:t>
            </w:r>
            <w:r>
              <w:t xml:space="preserve"> </w:t>
            </w:r>
            <w:r>
              <w:rPr>
                <w:spacing w:val="10"/>
              </w:rPr>
              <w:t>展各类业务知识培训及法制培训，培训人群</w:t>
            </w:r>
            <w:r>
              <w:t xml:space="preserve"> </w:t>
            </w:r>
            <w:r>
              <w:rPr>
                <w:spacing w:val="7"/>
              </w:rPr>
              <w:t>达</w:t>
            </w:r>
            <w:r>
              <w:rPr>
                <w:spacing w:val="-21"/>
              </w:rPr>
              <w:t xml:space="preserve"> </w:t>
            </w:r>
            <w:r>
              <w:rPr>
                <w:spacing w:val="7"/>
              </w:rPr>
              <w:t>600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余人次，进一步增强了基层统计工作</w:t>
            </w:r>
            <w:r>
              <w:t xml:space="preserve"> </w:t>
            </w:r>
            <w:r>
              <w:rPr>
                <w:spacing w:val="7"/>
              </w:rPr>
              <w:t>人员依法统计意识。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 w14:paraId="6B1224F1">
            <w:pPr>
              <w:spacing w:line="251" w:lineRule="auto"/>
              <w:rPr>
                <w:rFonts w:ascii="Arial"/>
                <w:sz w:val="21"/>
              </w:rPr>
            </w:pPr>
          </w:p>
          <w:p w14:paraId="330456E8">
            <w:pPr>
              <w:spacing w:line="251" w:lineRule="auto"/>
              <w:rPr>
                <w:rFonts w:ascii="Arial"/>
                <w:sz w:val="21"/>
              </w:rPr>
            </w:pPr>
          </w:p>
          <w:p w14:paraId="264A6BF5">
            <w:pPr>
              <w:spacing w:line="251" w:lineRule="auto"/>
              <w:rPr>
                <w:rFonts w:ascii="Arial"/>
                <w:sz w:val="21"/>
              </w:rPr>
            </w:pPr>
          </w:p>
          <w:p w14:paraId="1FF7AA5E">
            <w:pPr>
              <w:spacing w:line="251" w:lineRule="auto"/>
              <w:rPr>
                <w:rFonts w:ascii="Arial"/>
                <w:sz w:val="21"/>
              </w:rPr>
            </w:pPr>
          </w:p>
          <w:p w14:paraId="2C6F8469">
            <w:pPr>
              <w:spacing w:line="252" w:lineRule="auto"/>
              <w:rPr>
                <w:rFonts w:ascii="Arial"/>
                <w:sz w:val="21"/>
              </w:rPr>
            </w:pPr>
          </w:p>
          <w:p w14:paraId="1B6E92B2">
            <w:pPr>
              <w:spacing w:line="252" w:lineRule="auto"/>
              <w:rPr>
                <w:rFonts w:ascii="Arial"/>
                <w:sz w:val="21"/>
              </w:rPr>
            </w:pPr>
          </w:p>
          <w:p w14:paraId="61FD092F">
            <w:pPr>
              <w:spacing w:line="252" w:lineRule="auto"/>
              <w:rPr>
                <w:rFonts w:ascii="Arial"/>
                <w:sz w:val="21"/>
              </w:rPr>
            </w:pPr>
          </w:p>
          <w:p w14:paraId="376866D1">
            <w:pPr>
              <w:spacing w:line="252" w:lineRule="auto"/>
              <w:rPr>
                <w:rFonts w:ascii="Arial"/>
                <w:sz w:val="21"/>
              </w:rPr>
            </w:pPr>
          </w:p>
          <w:p w14:paraId="74AAD32A">
            <w:pPr>
              <w:pStyle w:val="6"/>
              <w:spacing w:before="65" w:line="232" w:lineRule="auto"/>
              <w:ind w:left="474"/>
            </w:pPr>
            <w:r>
              <w:rPr>
                <w:spacing w:val="-1"/>
              </w:rPr>
              <w:t>完成</w:t>
            </w:r>
          </w:p>
        </w:tc>
      </w:tr>
    </w:tbl>
    <w:p w14:paraId="7CF1DC1C">
      <w:pPr>
        <w:pStyle w:val="2"/>
      </w:pPr>
    </w:p>
    <w:p w14:paraId="2D82D72E">
      <w:pPr>
        <w:sectPr>
          <w:pgSz w:w="11915" w:h="16851"/>
          <w:pgMar w:top="1432" w:right="1787" w:bottom="0" w:left="1566" w:header="0" w:footer="0" w:gutter="0"/>
          <w:cols w:space="720" w:num="1"/>
        </w:sectPr>
      </w:pPr>
    </w:p>
    <w:p w14:paraId="6A4EADF3">
      <w:pPr>
        <w:spacing w:before="96" w:line="224" w:lineRule="auto"/>
        <w:ind w:left="2046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8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第五部分</w:t>
      </w:r>
      <w:r>
        <w:rPr>
          <w:rFonts w:ascii="宋体" w:hAnsi="宋体" w:eastAsia="宋体" w:cs="宋体"/>
          <w:spacing w:val="8"/>
          <w:sz w:val="47"/>
          <w:szCs w:val="47"/>
        </w:rPr>
        <w:t xml:space="preserve">  </w:t>
      </w:r>
      <w:r>
        <w:rPr>
          <w:rFonts w:ascii="宋体" w:hAnsi="宋体" w:eastAsia="宋体" w:cs="宋体"/>
          <w:spacing w:val="8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名词解释</w:t>
      </w:r>
    </w:p>
    <w:p w14:paraId="5501CF05">
      <w:pPr>
        <w:pStyle w:val="2"/>
        <w:spacing w:line="314" w:lineRule="auto"/>
      </w:pPr>
    </w:p>
    <w:p w14:paraId="0F9D4327">
      <w:pPr>
        <w:spacing w:before="101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(一)一般公共预算财政拨款收入：指市级财政一般公</w:t>
      </w:r>
    </w:p>
    <w:p w14:paraId="72D5221B">
      <w:pPr>
        <w:spacing w:line="227" w:lineRule="auto"/>
        <w:ind w:left="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共预算当年拨付的资金。</w:t>
      </w:r>
    </w:p>
    <w:p w14:paraId="28FB7A02">
      <w:pPr>
        <w:spacing w:before="242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position w:val="23"/>
          <w:sz w:val="31"/>
          <w:szCs w:val="31"/>
        </w:rPr>
        <w:t>(二)政府性基金预算财政拨款收入：指市级财政政府</w:t>
      </w:r>
    </w:p>
    <w:p w14:paraId="483205A3">
      <w:pPr>
        <w:spacing w:before="1" w:line="225" w:lineRule="auto"/>
        <w:ind w:left="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性基金预算当年拨付的资金。</w:t>
      </w:r>
    </w:p>
    <w:p w14:paraId="104B014C">
      <w:pPr>
        <w:spacing w:before="245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(三)国有资本经营预算财政拨款收入：指市级财政国</w:t>
      </w:r>
    </w:p>
    <w:p w14:paraId="5252CBBE">
      <w:pPr>
        <w:spacing w:line="227" w:lineRule="auto"/>
        <w:ind w:left="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有资本经营预算当年拨付的资金。</w:t>
      </w:r>
    </w:p>
    <w:p w14:paraId="1204596B">
      <w:pPr>
        <w:spacing w:before="242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(四)上级补助收入：指从事业单位主管部门和上级单</w:t>
      </w:r>
    </w:p>
    <w:p w14:paraId="3F4C36CD">
      <w:pPr>
        <w:spacing w:line="227" w:lineRule="auto"/>
        <w:ind w:left="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位取得的非财政补助收入。</w:t>
      </w:r>
    </w:p>
    <w:p w14:paraId="2DA2CD76">
      <w:pPr>
        <w:spacing w:before="243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(五)事业收入：指事业单位开展专业业务活动及其辅</w:t>
      </w:r>
    </w:p>
    <w:p w14:paraId="6EF12D5D">
      <w:pPr>
        <w:spacing w:before="2" w:line="227" w:lineRule="auto"/>
        <w:ind w:left="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助活动取得的收入。</w:t>
      </w:r>
    </w:p>
    <w:p w14:paraId="6AA9F4F1">
      <w:pPr>
        <w:spacing w:before="241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(六)经营收入：指事业单位在专业业务活动及其辅助</w:t>
      </w:r>
    </w:p>
    <w:p w14:paraId="71A22F3A">
      <w:pPr>
        <w:spacing w:line="227" w:lineRule="auto"/>
        <w:ind w:left="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活动之外开展非独立核算经营活动取得的收入。</w:t>
      </w:r>
    </w:p>
    <w:p w14:paraId="48FFA980">
      <w:pPr>
        <w:pStyle w:val="2"/>
        <w:spacing w:before="242" w:line="372" w:lineRule="auto"/>
        <w:ind w:left="60" w:right="211" w:firstLine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(七)其他收入：指单位取得的除上述</w:t>
      </w:r>
      <w:r>
        <w:rPr>
          <w:color w:val="333333"/>
          <w:spacing w:val="5"/>
          <w:sz w:val="31"/>
          <w:szCs w:val="31"/>
        </w:rPr>
        <w:t>“</w:t>
      </w:r>
      <w:r>
        <w:rPr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一般公共预算财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政拨款收入</w:t>
      </w:r>
      <w:r>
        <w:rPr>
          <w:color w:val="333333"/>
          <w:spacing w:val="2"/>
          <w:sz w:val="31"/>
          <w:szCs w:val="31"/>
        </w:rPr>
        <w:t>”</w:t>
      </w:r>
      <w:r>
        <w:rPr>
          <w:color w:val="333333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、</w:t>
      </w:r>
      <w:r>
        <w:rPr>
          <w:color w:val="333333"/>
          <w:spacing w:val="2"/>
          <w:sz w:val="31"/>
          <w:szCs w:val="31"/>
        </w:rPr>
        <w:t>“</w:t>
      </w:r>
      <w:r>
        <w:rPr>
          <w:color w:val="333333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政府性基金预算财政拨款收入</w:t>
      </w:r>
      <w:r>
        <w:rPr>
          <w:color w:val="333333"/>
          <w:spacing w:val="2"/>
          <w:sz w:val="31"/>
          <w:szCs w:val="31"/>
        </w:rPr>
        <w:t>”</w:t>
      </w:r>
      <w:r>
        <w:rPr>
          <w:color w:val="333333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、</w:t>
      </w:r>
      <w:r>
        <w:rPr>
          <w:color w:val="333333"/>
          <w:spacing w:val="2"/>
          <w:sz w:val="31"/>
          <w:szCs w:val="31"/>
        </w:rPr>
        <w:t>“</w:t>
      </w:r>
      <w:r>
        <w:rPr>
          <w:color w:val="333333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国有资本</w:t>
      </w:r>
    </w:p>
    <w:p w14:paraId="36A87351">
      <w:pPr>
        <w:pStyle w:val="2"/>
        <w:spacing w:line="227" w:lineRule="auto"/>
        <w:ind w:left="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经营预算财政拨款收入</w:t>
      </w:r>
      <w:r>
        <w:rPr>
          <w:color w:val="333333"/>
          <w:spacing w:val="3"/>
          <w:sz w:val="31"/>
          <w:szCs w:val="31"/>
        </w:rPr>
        <w:t>”</w:t>
      </w:r>
      <w:r>
        <w:rPr>
          <w:color w:val="333333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、</w:t>
      </w:r>
      <w:r>
        <w:rPr>
          <w:color w:val="333333"/>
          <w:spacing w:val="3"/>
          <w:sz w:val="31"/>
          <w:szCs w:val="31"/>
        </w:rPr>
        <w:t>“</w:t>
      </w:r>
      <w:r>
        <w:rPr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上级补助收入</w:t>
      </w:r>
      <w:r>
        <w:rPr>
          <w:color w:val="333333"/>
          <w:spacing w:val="3"/>
          <w:sz w:val="31"/>
          <w:szCs w:val="31"/>
        </w:rPr>
        <w:t>”</w:t>
      </w:r>
      <w:r>
        <w:rPr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、</w:t>
      </w:r>
      <w:r>
        <w:rPr>
          <w:color w:val="333333"/>
          <w:spacing w:val="3"/>
          <w:sz w:val="31"/>
          <w:szCs w:val="31"/>
        </w:rPr>
        <w:t>“</w:t>
      </w:r>
      <w:r>
        <w:rPr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事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业收入</w:t>
      </w:r>
      <w:r>
        <w:rPr>
          <w:color w:val="333333"/>
          <w:spacing w:val="2"/>
          <w:sz w:val="31"/>
          <w:szCs w:val="31"/>
        </w:rPr>
        <w:t>”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、</w:t>
      </w:r>
    </w:p>
    <w:p w14:paraId="30BC33A6">
      <w:pPr>
        <w:pStyle w:val="2"/>
        <w:spacing w:before="242" w:line="229" w:lineRule="auto"/>
        <w:rPr>
          <w:rFonts w:ascii="仿宋" w:hAnsi="仿宋" w:eastAsia="仿宋" w:cs="仿宋"/>
          <w:sz w:val="31"/>
          <w:szCs w:val="31"/>
        </w:rPr>
      </w:pPr>
      <w:r>
        <w:rPr>
          <w:color w:val="333333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经营收入</w:t>
      </w:r>
      <w:r>
        <w:rPr>
          <w:color w:val="333333"/>
          <w:spacing w:val="8"/>
          <w:sz w:val="31"/>
          <w:szCs w:val="31"/>
        </w:rPr>
        <w:t>”</w:t>
      </w:r>
      <w:r>
        <w:rPr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等收入以外的各项收入。</w:t>
      </w:r>
    </w:p>
    <w:p w14:paraId="008536C0">
      <w:pPr>
        <w:spacing w:before="240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(八)使用非财政拨款结余：指事业单位使用以前年度</w:t>
      </w:r>
    </w:p>
    <w:p w14:paraId="578EC00F">
      <w:pPr>
        <w:spacing w:line="227" w:lineRule="auto"/>
        <w:ind w:left="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积累的非财政拨款结余弥补当年收支差额的金额。</w:t>
      </w:r>
    </w:p>
    <w:p w14:paraId="2D0E8025">
      <w:pPr>
        <w:spacing w:before="241" w:line="372" w:lineRule="auto"/>
        <w:ind w:left="63" w:right="328" w:firstLine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(九)年初结转和结余：指单位以前年度尚未完成、结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转到本年仍按原规定用途继续使用的资金，或项目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已完成</w:t>
      </w:r>
    </w:p>
    <w:p w14:paraId="30F110D3">
      <w:pPr>
        <w:spacing w:before="1" w:line="228" w:lineRule="auto"/>
        <w:ind w:left="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等产生的结余资金。</w:t>
      </w:r>
    </w:p>
    <w:p w14:paraId="2F91CB3E">
      <w:pPr>
        <w:spacing w:line="228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14" w:right="1787" w:bottom="0" w:left="1761" w:header="0" w:footer="0" w:gutter="0"/>
          <w:cols w:space="720" w:num="1"/>
        </w:sectPr>
      </w:pPr>
    </w:p>
    <w:p w14:paraId="17F79F9A">
      <w:pPr>
        <w:spacing w:before="161" w:line="227" w:lineRule="auto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(十)本部门使用的支出功能分类科目(到项级)</w:t>
      </w:r>
    </w:p>
    <w:p w14:paraId="1628085D">
      <w:pPr>
        <w:spacing w:before="241" w:line="372" w:lineRule="auto"/>
        <w:ind w:left="80" w:right="14" w:firstLine="60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1.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服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类)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统</w:t>
      </w:r>
      <w:r>
        <w:rPr>
          <w:rFonts w:ascii="仿宋" w:hAnsi="仿宋" w:eastAsia="仿宋" w:cs="仿宋"/>
          <w:color w:val="333333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计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信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息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事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款)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行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运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(项)。反映反映行政单位（包括实行公务员管理的事业单</w:t>
      </w:r>
    </w:p>
    <w:p w14:paraId="643E72CB"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位）的基本支出。</w:t>
      </w:r>
    </w:p>
    <w:p w14:paraId="77EA2EB4">
      <w:pPr>
        <w:spacing w:before="241" w:line="372" w:lineRule="auto"/>
        <w:ind w:left="38" w:right="14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2.一般公共服务(类)统计信息事务(款)专项统计业务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。反映各级统计机关在日常业务之外开展专项统计</w:t>
      </w:r>
    </w:p>
    <w:p w14:paraId="167049DC"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工作的支出。</w:t>
      </w:r>
    </w:p>
    <w:p w14:paraId="25A15418">
      <w:pPr>
        <w:spacing w:before="243" w:line="372" w:lineRule="auto"/>
        <w:ind w:left="38" w:right="14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3.一般公共服务(类)统计信息事务(款)专项普查活动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。反映统计部门开展人口普查、经济普查、农业普</w:t>
      </w:r>
    </w:p>
    <w:p w14:paraId="0A8CF141"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查、投入产出调查等周期性普查工作的支出。</w:t>
      </w:r>
    </w:p>
    <w:p w14:paraId="6190CF05">
      <w:pPr>
        <w:spacing w:before="244" w:line="372" w:lineRule="auto"/>
        <w:ind w:left="33" w:right="14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4.一般公共服务(类)统计信息事务(款)其他统计信息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事务支出（项）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。反映除上述项目以外的其他统计信息事</w:t>
      </w:r>
    </w:p>
    <w:p w14:paraId="242B7EFA">
      <w:pPr>
        <w:spacing w:before="1" w:line="228" w:lineRule="auto"/>
        <w:ind w:left="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务支出。</w:t>
      </w:r>
    </w:p>
    <w:p w14:paraId="06998189">
      <w:pPr>
        <w:spacing w:before="239" w:line="372" w:lineRule="auto"/>
        <w:ind w:left="38" w:right="14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5.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服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类)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事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款)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国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库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业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。反映财政部门用于财政国库集中收付业务方面的</w:t>
      </w:r>
    </w:p>
    <w:p w14:paraId="5064DA0C">
      <w:pPr>
        <w:spacing w:line="229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支出。</w:t>
      </w:r>
    </w:p>
    <w:p w14:paraId="6039E837">
      <w:pPr>
        <w:spacing w:before="238" w:line="372" w:lineRule="auto"/>
        <w:ind w:left="33" w:right="14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6.社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会保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障和就业支出（类</w:t>
      </w:r>
      <w:r>
        <w:rPr>
          <w:rFonts w:ascii="仿宋" w:hAnsi="仿宋" w:eastAsia="仿宋" w:cs="仿宋"/>
          <w:color w:val="333333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）行政事业单位离退休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（款）机关事业单位基本养老保险缴费支出（项）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机关事业单位实施养老保险制度由单位缴纳的基本养老保</w:t>
      </w:r>
    </w:p>
    <w:p w14:paraId="74DD6F32">
      <w:pPr>
        <w:spacing w:line="229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z w:val="31"/>
          <w:szCs w:val="31"/>
        </w:rPr>
        <w:t>险费支出。</w:t>
      </w:r>
    </w:p>
    <w:p w14:paraId="7C000D47">
      <w:pPr>
        <w:spacing w:line="229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2016FCC3">
      <w:pPr>
        <w:spacing w:before="160" w:line="372" w:lineRule="auto"/>
        <w:ind w:left="73" w:right="14" w:firstLine="59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7.社会保障和就业支出（类）就业补助（款）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益性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岗位补贴（项）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。反映财政对符合条件的就业困难人员在</w:t>
      </w:r>
    </w:p>
    <w:p w14:paraId="76C57278">
      <w:pPr>
        <w:spacing w:before="1" w:line="225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公益性岗位就业给予的岗位补贴支出。</w:t>
      </w:r>
    </w:p>
    <w:p w14:paraId="592126BC">
      <w:pPr>
        <w:spacing w:before="243" w:line="372" w:lineRule="auto"/>
        <w:ind w:left="38" w:right="14" w:firstLine="6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8.社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会保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障和就业支出（类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）抚恤（款</w:t>
      </w:r>
      <w:r>
        <w:rPr>
          <w:rFonts w:ascii="仿宋" w:hAnsi="仿宋" w:eastAsia="仿宋" w:cs="仿宋"/>
          <w:color w:val="333333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）死亡抚恤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。反映按规定用于烈士和牺牲、病故人员家属的一</w:t>
      </w:r>
    </w:p>
    <w:p w14:paraId="09BF300F">
      <w:pPr>
        <w:spacing w:line="224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次性和定期抚恤金以及丧葬补助费。</w:t>
      </w:r>
    </w:p>
    <w:p w14:paraId="766130D1">
      <w:pPr>
        <w:spacing w:before="246" w:line="372" w:lineRule="auto"/>
        <w:ind w:left="33" w:right="14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9.卫生健康支出（类）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公共卫生（款）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突发公共卫生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事件应急处理（项）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。反映用于突发公共卫生事件应急处</w:t>
      </w:r>
    </w:p>
    <w:p w14:paraId="67178EB8">
      <w:pPr>
        <w:spacing w:line="229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理的支出。</w:t>
      </w:r>
    </w:p>
    <w:p w14:paraId="24955125">
      <w:pPr>
        <w:spacing w:before="236" w:line="372" w:lineRule="auto"/>
        <w:ind w:left="36" w:right="12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10.卫生健康支出（类）行政事业单位医疗（款）行政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单位医疗（项）</w:t>
      </w:r>
      <w:r>
        <w:rPr>
          <w:rFonts w:ascii="仿宋" w:hAnsi="仿宋" w:eastAsia="仿宋" w:cs="仿宋"/>
          <w:color w:val="333333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。反映财政部门安排的行政单位（包括实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行公务员管理的事业单位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下同）</w:t>
      </w:r>
      <w:r>
        <w:rPr>
          <w:rFonts w:ascii="仿宋" w:hAnsi="仿宋" w:eastAsia="仿宋" w:cs="仿宋"/>
          <w:color w:val="333333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基本医疗保险缴费经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费，未参加医疗保险的行政单位的公费医疗经费，按国家</w:t>
      </w:r>
    </w:p>
    <w:p w14:paraId="57AF7219">
      <w:pPr>
        <w:spacing w:before="1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规定享受离休人员，红军老战士待遇人员的医疗经费。</w:t>
      </w:r>
    </w:p>
    <w:p w14:paraId="63D3C64C">
      <w:pPr>
        <w:spacing w:before="244" w:line="372" w:lineRule="auto"/>
        <w:ind w:left="33" w:right="12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11.住房保障支出（类）住房改革支出（款）住房公积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金（项）</w:t>
      </w:r>
      <w:r>
        <w:rPr>
          <w:rFonts w:ascii="仿宋" w:hAnsi="仿宋" w:eastAsia="仿宋" w:cs="仿宋"/>
          <w:color w:val="333333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。反映行政事业单位按人力资源和社会保障部、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财政部规定的基本工资和津贴补贴以及规定比例为职工缴</w:t>
      </w:r>
    </w:p>
    <w:p w14:paraId="1255A1E3">
      <w:pPr>
        <w:spacing w:line="227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纳的住房公积金。</w:t>
      </w:r>
    </w:p>
    <w:p w14:paraId="2AA64245">
      <w:pPr>
        <w:spacing w:before="241" w:line="372" w:lineRule="auto"/>
        <w:ind w:left="38" w:right="1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12.住房保障支出（类）住房改革支出（款）提租补贴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。反映按房改政策规定的标准，行政事业单位向职</w:t>
      </w:r>
    </w:p>
    <w:p w14:paraId="4E9D32A9"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工（含离退休人员）发放的租金补贴。13.其他支出（类）</w:t>
      </w:r>
    </w:p>
    <w:p w14:paraId="51D095C0"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7EBF366D">
      <w:pPr>
        <w:spacing w:before="161" w:line="624" w:lineRule="exact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8"/>
          <w:position w:val="23"/>
          <w:sz w:val="31"/>
          <w:szCs w:val="31"/>
        </w:rPr>
        <w:t>其他支出（款）其他支出（项）</w:t>
      </w:r>
      <w:r>
        <w:rPr>
          <w:rFonts w:ascii="仿宋" w:hAnsi="仿宋" w:eastAsia="仿宋" w:cs="仿宋"/>
          <w:color w:val="333333"/>
          <w:spacing w:val="-67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position w:val="23"/>
          <w:sz w:val="31"/>
          <w:szCs w:val="31"/>
        </w:rPr>
        <w:t>。反映除上述项目以外其</w:t>
      </w:r>
    </w:p>
    <w:p w14:paraId="5312DAB4"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他不能划分到具体功能科目中的支出项目。</w:t>
      </w:r>
    </w:p>
    <w:p w14:paraId="38450795">
      <w:pPr>
        <w:spacing w:before="241" w:line="372" w:lineRule="auto"/>
        <w:ind w:left="52" w:right="14" w:firstLine="66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(十一)结余分配：指事业单位按照会计制度规定缴纳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的企业所得税、提取的专用结余以及转入非财政拨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款结余</w:t>
      </w:r>
    </w:p>
    <w:p w14:paraId="59DCFA4D">
      <w:pPr>
        <w:spacing w:line="228" w:lineRule="auto"/>
        <w:ind w:left="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的金额等。</w:t>
      </w:r>
    </w:p>
    <w:p w14:paraId="163C3A08">
      <w:pPr>
        <w:spacing w:before="239" w:line="372" w:lineRule="auto"/>
        <w:ind w:left="40" w:right="14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(十二)年末结转和结余：指单位按有关规定结转到下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年或以后年度继续使用的资金，或项目已完成等产生的结</w:t>
      </w:r>
    </w:p>
    <w:p w14:paraId="5D98344B">
      <w:pPr>
        <w:spacing w:before="1" w:line="228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余资金。</w:t>
      </w:r>
    </w:p>
    <w:p w14:paraId="3460F24C">
      <w:pPr>
        <w:spacing w:before="240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position w:val="23"/>
          <w:sz w:val="31"/>
          <w:szCs w:val="31"/>
        </w:rPr>
        <w:t>(十三)基本支出：指为保障机构正常运转、完成日常</w:t>
      </w:r>
    </w:p>
    <w:p w14:paraId="32C704C0"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工作任务而发生的人员支出和公用支出。</w:t>
      </w:r>
    </w:p>
    <w:p w14:paraId="7E646D03">
      <w:pPr>
        <w:spacing w:before="245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position w:val="23"/>
          <w:sz w:val="31"/>
          <w:szCs w:val="31"/>
        </w:rPr>
        <w:t>(十四)项目支出：指在基本支出之外为完成特定行政</w:t>
      </w:r>
    </w:p>
    <w:p w14:paraId="3CDA15B8"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任务或事业发展目标所发生的支出。</w:t>
      </w:r>
    </w:p>
    <w:p w14:paraId="227D19F6">
      <w:pPr>
        <w:spacing w:before="242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position w:val="23"/>
          <w:sz w:val="31"/>
          <w:szCs w:val="31"/>
        </w:rPr>
        <w:t>(十五)经营支出：指事业单位在专业活动及辅助活动</w:t>
      </w:r>
    </w:p>
    <w:p w14:paraId="792A0BCB">
      <w:pPr>
        <w:spacing w:line="227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之外开展非独立核算经营活动发生的支出。</w:t>
      </w:r>
    </w:p>
    <w:p w14:paraId="2187E2B0">
      <w:pPr>
        <w:pStyle w:val="2"/>
        <w:spacing w:before="239" w:line="372" w:lineRule="auto"/>
        <w:ind w:left="33" w:right="14" w:firstLine="68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(十六)</w:t>
      </w:r>
      <w:r>
        <w:rPr>
          <w:color w:val="333333"/>
          <w:spacing w:val="13"/>
          <w:sz w:val="31"/>
          <w:szCs w:val="31"/>
        </w:rPr>
        <w:t>“</w:t>
      </w:r>
      <w:r>
        <w:rPr>
          <w:color w:val="333333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三公</w:t>
      </w:r>
      <w:r>
        <w:rPr>
          <w:color w:val="333333"/>
          <w:spacing w:val="13"/>
          <w:sz w:val="31"/>
          <w:szCs w:val="31"/>
        </w:rPr>
        <w:t>”</w:t>
      </w:r>
      <w:r>
        <w:rPr>
          <w:color w:val="333333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经费：纳入财政一般公共预算管理的</w:t>
      </w:r>
      <w:r>
        <w:rPr>
          <w:color w:val="333333"/>
          <w:spacing w:val="13"/>
          <w:sz w:val="31"/>
          <w:szCs w:val="31"/>
        </w:rPr>
        <w:t>“</w:t>
      </w:r>
      <w:r>
        <w:rPr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三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公</w:t>
      </w:r>
      <w:r>
        <w:rPr>
          <w:color w:val="333333"/>
          <w:spacing w:val="16"/>
          <w:sz w:val="31"/>
          <w:szCs w:val="31"/>
        </w:rPr>
        <w:t>”</w:t>
      </w:r>
      <w:r>
        <w:rPr>
          <w:color w:val="333333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经费，是指市直部门用一般公共预算财政拨款安排的因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公出国(境)费、公务用车购置及运行费和公务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接待费。其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中，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因公出国(境)费反映单位公务出国(境)的国际旅费、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国外城市间交通费、住宿费、伙食费、培训费、公杂费等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支出；公务用车购置及运行费反映单位公务用车购置支出</w:t>
      </w:r>
    </w:p>
    <w:p w14:paraId="7FD88BA8">
      <w:pPr>
        <w:spacing w:before="1" w:line="224" w:lineRule="auto"/>
        <w:ind w:left="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(含车辆购置税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、牌照费)及燃料费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、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维修费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、过桥过路</w:t>
      </w:r>
    </w:p>
    <w:p w14:paraId="4399249B">
      <w:pPr>
        <w:spacing w:line="224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7A9590D5">
      <w:pPr>
        <w:spacing w:before="161" w:line="624" w:lineRule="exact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position w:val="23"/>
          <w:sz w:val="31"/>
          <w:szCs w:val="31"/>
        </w:rPr>
        <w:t>费、保险费、安全奖励费用等支出；公务接待费反映单位</w:t>
      </w:r>
    </w:p>
    <w:p w14:paraId="2959AB38">
      <w:pPr>
        <w:spacing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按规定开支的各类公务接待(含外宾接待)费用。</w:t>
      </w:r>
    </w:p>
    <w:p w14:paraId="515E2829">
      <w:pPr>
        <w:spacing w:before="239" w:line="372" w:lineRule="auto"/>
        <w:ind w:left="32" w:right="14" w:firstLine="68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(十七)机关运行经费：指为保障行政单位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(包括参照公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务员法管理的事业单位)运行用于购买货物和服务的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各项资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金，包括办公及印刷费、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邮电费、差旅费、会议费、福利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费、</w:t>
      </w:r>
      <w:r>
        <w:rPr>
          <w:rFonts w:ascii="仿宋" w:hAnsi="仿宋" w:eastAsia="仿宋" w:cs="仿宋"/>
          <w:color w:val="333333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日常维修费、专用材料及一般设备购置费、办公用房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水电费、办公用房取暖费、办公用房物业管理费、公务用</w:t>
      </w:r>
    </w:p>
    <w:p w14:paraId="1D23AC3A">
      <w:pPr>
        <w:spacing w:before="1" w:line="224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车运行维护费以及其他费用。</w:t>
      </w:r>
    </w:p>
    <w:p w14:paraId="5A554BFB">
      <w:pPr>
        <w:spacing w:before="246" w:line="227" w:lineRule="auto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(十八)其他专用名词。</w:t>
      </w:r>
    </w:p>
    <w:p w14:paraId="03B6E1A3">
      <w:pPr>
        <w:spacing w:before="245" w:line="228" w:lineRule="auto"/>
        <w:ind w:left="67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没有其他专业名词解释。</w:t>
      </w:r>
    </w:p>
    <w:p w14:paraId="400AB71E">
      <w:pPr>
        <w:spacing w:line="228" w:lineRule="auto"/>
        <w:rPr>
          <w:rFonts w:ascii="仿宋" w:hAnsi="仿宋" w:eastAsia="仿宋" w:cs="仿宋"/>
          <w:sz w:val="30"/>
          <w:szCs w:val="30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 w14:paraId="1690EE4F">
      <w:pPr>
        <w:spacing w:before="97" w:line="223" w:lineRule="auto"/>
        <w:ind w:left="2381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第六部分</w:t>
      </w:r>
      <w:r>
        <w:rPr>
          <w:rFonts w:ascii="宋体" w:hAnsi="宋体" w:eastAsia="宋体" w:cs="宋体"/>
          <w:spacing w:val="37"/>
          <w:sz w:val="47"/>
          <w:szCs w:val="47"/>
        </w:rPr>
        <w:t xml:space="preserve">  </w:t>
      </w:r>
      <w:r>
        <w:rPr>
          <w:rFonts w:ascii="宋体" w:hAnsi="宋体" w:eastAsia="宋体" w:cs="宋体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ascii="宋体" w:hAnsi="宋体" w:eastAsia="宋体" w:cs="宋体"/>
          <w:sz w:val="47"/>
          <w:szCs w:val="47"/>
        </w:rPr>
        <w:t xml:space="preserve"> </w:t>
      </w:r>
      <w:r>
        <w:rPr>
          <w:rFonts w:ascii="宋体" w:hAnsi="宋体" w:eastAsia="宋体" w:cs="宋体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件</w:t>
      </w:r>
    </w:p>
    <w:p w14:paraId="1DEB0D7E">
      <w:pPr>
        <w:pStyle w:val="2"/>
        <w:spacing w:line="242" w:lineRule="auto"/>
      </w:pPr>
    </w:p>
    <w:p w14:paraId="21C10AFA">
      <w:pPr>
        <w:pStyle w:val="2"/>
        <w:spacing w:line="243" w:lineRule="auto"/>
      </w:pPr>
    </w:p>
    <w:p w14:paraId="453B449B">
      <w:pPr>
        <w:pStyle w:val="2"/>
        <w:spacing w:line="243" w:lineRule="auto"/>
      </w:pPr>
    </w:p>
    <w:p w14:paraId="31BBFA13">
      <w:pPr>
        <w:pStyle w:val="2"/>
        <w:spacing w:line="243" w:lineRule="auto"/>
      </w:pPr>
    </w:p>
    <w:p w14:paraId="74F84F8E">
      <w:pPr>
        <w:pStyle w:val="2"/>
        <w:spacing w:line="243" w:lineRule="auto"/>
      </w:pPr>
    </w:p>
    <w:p w14:paraId="7812E216">
      <w:pPr>
        <w:spacing w:before="100" w:line="226" w:lineRule="auto"/>
        <w:ind w:left="141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2021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年度武汉市蔡甸区统计局绩效评价报告</w:t>
      </w:r>
    </w:p>
    <w:p w14:paraId="5D7CB759">
      <w:pPr>
        <w:pStyle w:val="2"/>
        <w:spacing w:line="421" w:lineRule="auto"/>
      </w:pPr>
    </w:p>
    <w:p w14:paraId="1132E336">
      <w:pPr>
        <w:spacing w:before="101" w:line="905" w:lineRule="exact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4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一、2021</w:t>
      </w:r>
      <w:r>
        <w:rPr>
          <w:rFonts w:ascii="仿宋" w:hAnsi="仿宋" w:eastAsia="仿宋" w:cs="仿宋"/>
          <w:spacing w:val="-47"/>
          <w:position w:val="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4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年度武汉市蔡甸区统计局整体绩效评价报告</w:t>
      </w:r>
    </w:p>
    <w:p w14:paraId="286200A2">
      <w:pPr>
        <w:spacing w:before="1" w:line="227" w:lineRule="auto"/>
        <w:ind w:left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年度项目绩效评价报告</w:t>
      </w:r>
    </w:p>
    <w:p w14:paraId="42E042FE">
      <w:pPr>
        <w:pStyle w:val="2"/>
        <w:spacing w:line="263" w:lineRule="auto"/>
      </w:pPr>
    </w:p>
    <w:p w14:paraId="4FEE0DA4">
      <w:pPr>
        <w:pStyle w:val="2"/>
        <w:spacing w:line="263" w:lineRule="auto"/>
      </w:pPr>
    </w:p>
    <w:p w14:paraId="24579233">
      <w:pPr>
        <w:pStyle w:val="2"/>
        <w:spacing w:line="263" w:lineRule="auto"/>
      </w:pPr>
    </w:p>
    <w:p w14:paraId="7FF379A8">
      <w:pPr>
        <w:pStyle w:val="2"/>
        <w:spacing w:line="263" w:lineRule="auto"/>
      </w:pPr>
    </w:p>
    <w:p w14:paraId="1EEC7821">
      <w:pPr>
        <w:pStyle w:val="2"/>
        <w:spacing w:line="263" w:lineRule="auto"/>
      </w:pPr>
    </w:p>
    <w:p w14:paraId="1BFAF355">
      <w:pPr>
        <w:spacing w:before="100" w:line="229" w:lineRule="auto"/>
        <w:ind w:left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联系电话：69110768</w:t>
      </w:r>
    </w:p>
    <w:sectPr>
      <w:pgSz w:w="11915" w:h="16851"/>
      <w:pgMar w:top="1414" w:right="1787" w:bottom="0" w:left="17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OTM4YzMzNTk3ZGUxNjY0Yjk2NDA5MjZlYzk5ZjQzNmIifQ=="/>
  </w:docVars>
  <w:rsids>
    <w:rsidRoot w:val="00000000"/>
    <w:rsid w:val="1DDF3537"/>
    <w:rsid w:val="264E3A55"/>
    <w:rsid w:val="6E0E61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8016</Words>
  <Characters>8824</Characters>
  <TotalTime>1</TotalTime>
  <ScaleCrop>false</ScaleCrop>
  <LinksUpToDate>false</LinksUpToDate>
  <CharactersWithSpaces>9742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2023-05-15T09:25:00Z</dcterms:created>
  <dc:creator>apple</dc:creator>
  <cp:lastModifiedBy>小杨</cp:lastModifiedBy>
  <dcterms:modified xsi:type="dcterms:W3CDTF">2026-05-18T03:21:25Z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2023-08-16T12:07:13Z</vt:filetime>
  </property>
  <property fmtid="{D5CDD505-2E9C-101B-9397-08002B2CF9AE}" pid="4" name="KSOProductBuildVer">
    <vt:lpwstr>2052-12.1.0.26375</vt:lpwstr>
  </property>
  <property fmtid="{D5CDD505-2E9C-101B-9397-08002B2CF9AE}" pid="5" name="ICV">
    <vt:lpwstr>7679374E27514E6D9887A6B8A0633A59_12</vt:lpwstr>
  </property>
  <property fmtid="{D5CDD505-2E9C-101B-9397-08002B2CF9AE}" pid="6" name="KSOTemplateDocerSaveRecord">
    <vt:lpwstr>eyJoZGlkIjoiOWEzM2FkYjRjNTFhZTJlMWZkZWU2MDIxZDU2ODU2ZmEiLCJ1c2VySWQiOiIzODkzMjA2NzcifQ==</vt:lpwstr>
  </property>
</Properties>
</file>