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蔡甸区统计局</w:t>
      </w:r>
    </w:p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统计调查等专项业务经费</w:t>
      </w:r>
    </w:p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项目自评结果</w:t>
      </w:r>
    </w:p>
    <w:p>
      <w:pPr>
        <w:rPr>
          <w:rFonts w:hint="eastAsia" w:ascii="仿宋" w:hAnsi="仿宋" w:eastAsia="仿宋" w:cs="楷体_GB2312"/>
          <w:b/>
          <w:sz w:val="32"/>
          <w:szCs w:val="32"/>
        </w:rPr>
      </w:pP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一、绩效目标完成情况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1.执行率情况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2020年区财政就统计调查等专项业务经费项目批复预算70万元，实际执行48.99万元，执行率70%。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完成的绩效目标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完成了2020年统计专项工作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统计数据质量达标率100%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完成及时率100%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优化了统计工作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default" w:ascii="仿宋" w:hAnsi="仿宋" w:eastAsia="仿宋" w:cs="Times New Roman"/>
          <w:sz w:val="32"/>
          <w:szCs w:val="32"/>
          <w:lang w:val="en-US" w:eastAsia="zh-CN"/>
        </w:rPr>
        <w:t>服务对象满意度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90%以上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3.未完成的绩效目标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资金使用率未达到100%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1.预算执行情况分析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2020年区财政就统计调查等专项业务经费项目批复预算70万元，实际执行48.99万元，执行率70%。该项经费用于规下农业调查、劳动力调查、人口抽样调查和限下批零餐住企业调查等统计调查工作。因今年新冠疫情原因，很多统计工作未开展，故工作经费执行率有偏差。</w:t>
      </w:r>
    </w:p>
    <w:p>
      <w:pPr>
        <w:ind w:firstLine="643" w:firstLineChars="200"/>
        <w:outlineLvl w:val="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2.绩效目标完成情况分析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）产出指标完成情况分析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①.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完成了2020年统计专项工作。开展规下农业调查、劳动力调查、人口抽样调查和限下批零餐住企业调查等调查工作；及时发布《蔡甸区2019年国民经济和社会发展统计公报》和《统计年鉴》，每月定期发布《统计月报》，向四大家领导和考评办、发改委等相关经济综合管理部门提供绩效指标数据。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在严格遵守全区疫情防控要求的前提下，切实履行统计职责，做好疫情防控期间统计数据生产有关工作，确保统计调查工作规范有序开展。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②.确保统计数据质量，确保上报率、及时性及数据质量，守住统计调查对象依法依规全面准确及时报送数据底线，为打赢疫情防控阻击战提供优质统计服务。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③.及时率100%，及时发布2019年度统计公报，不断提高数据的准确性和完整性，使干部群众了解蔡甸改革进程，提升影响力；完善统计月报内容，增加新城区经济指标完成对比情况；加强数据解读，全年形成9篇统计分析，为领导决策提供更加全面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④.资金使用率70%，未达到年初100%的目标。资金使用率未达标的原因是今年新冠疫情的影响很多工作未开展，故工作经费未使用完全。</w:t>
      </w:r>
    </w:p>
    <w:p>
      <w:pPr>
        <w:numPr>
          <w:ilvl w:val="0"/>
          <w:numId w:val="2"/>
        </w:numPr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①.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优化统计工作，加强“四上”企业统计人员培训，分专业、分行业举办统计业务知识培训，利用网络视频、电话沟通开展对企业统计人员的业务知识培训。今年以来开展各类业务知识培训及法制培训，培训人群达586余人次，进一步增强了基层统计工作人员依法统计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②.根据满意度调查问卷的反馈，社会公众对统计局这项工作满意度为94.91%。达到年初预定的90%的目标值。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三、存在的问题和原因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资金使用率未完成，年初疫情原因，部分工作未开展，故资金使用率出现偏差。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四、下一步拟改进措施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1.在年初设定预算值的时候要对工作的实际情况充分考虑，多方论证，制定预算数，以使预算更具有指导性。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2.强化绩效管理意识，重视年初预算申报监管，设计有效绩效管理指标。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3.对专项资金的使用进行监管，并落到实处。</w:t>
      </w:r>
    </w:p>
    <w:p>
      <w:pPr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</w:p>
    <w:p>
      <w:pPr>
        <w:ind w:firstLine="640" w:firstLineChars="200"/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仿宋" w:hAnsi="仿宋" w:eastAsia="仿宋" w:cs="楷体_GB2312"/>
          <w:sz w:val="32"/>
          <w:szCs w:val="32"/>
        </w:rPr>
        <w:t>附件：项目自评表</w:t>
      </w:r>
    </w:p>
    <w:p>
      <w:pPr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br w:type="page"/>
      </w:r>
    </w:p>
    <w:p>
      <w:pPr>
        <w:widowControl/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黑体" w:hAnsi="宋体" w:eastAsia="黑体" w:cs="黑体"/>
          <w:sz w:val="28"/>
          <w:szCs w:val="28"/>
        </w:rPr>
        <w:t>附2：</w:t>
      </w:r>
    </w:p>
    <w:p>
      <w:pPr>
        <w:jc w:val="center"/>
        <w:rPr>
          <w:rFonts w:hint="eastAsia" w:ascii="黑体" w:hAnsi="黑体" w:eastAsia="黑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</w:rPr>
        <w:t>年度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统计调查等专项业务经费</w:t>
      </w:r>
    </w:p>
    <w:p>
      <w:pPr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项目自评表</w:t>
      </w:r>
    </w:p>
    <w:p>
      <w:pPr>
        <w:rPr>
          <w:rFonts w:cs="Times New Roman"/>
        </w:rPr>
      </w:pPr>
    </w:p>
    <w:p>
      <w:pPr>
        <w:widowControl/>
        <w:jc w:val="left"/>
        <w:rPr>
          <w:rFonts w:hint="default" w:ascii="仿宋" w:hAnsi="仿宋" w:eastAsia="仿宋" w:cs="Times New Roman"/>
          <w:b/>
          <w:kern w:val="0"/>
          <w:sz w:val="48"/>
          <w:szCs w:val="48"/>
          <w:lang w:val="en-US" w:eastAsia="zh-CN"/>
        </w:rPr>
      </w:pPr>
      <w:r>
        <w:rPr>
          <w:rFonts w:hint="eastAsia" w:ascii="仿宋" w:hAnsi="仿宋" w:eastAsia="仿宋" w:cs="楷体_GB2312"/>
          <w:b/>
          <w:kern w:val="0"/>
          <w:sz w:val="28"/>
          <w:szCs w:val="28"/>
        </w:rPr>
        <w:t>单位名称</w:t>
      </w:r>
      <w:r>
        <w:rPr>
          <w:rFonts w:hint="eastAsia" w:ascii="仿宋" w:hAnsi="仿宋" w:eastAsia="仿宋" w:cs="楷体_GB2312"/>
          <w:b/>
          <w:kern w:val="0"/>
          <w:sz w:val="28"/>
          <w:szCs w:val="28"/>
          <w:lang w:eastAsia="zh-CN"/>
        </w:rPr>
        <w:t>：蔡甸区统计局</w:t>
      </w:r>
      <w:r>
        <w:rPr>
          <w:rFonts w:ascii="仿宋" w:hAnsi="仿宋" w:eastAsia="仿宋" w:cs="楷体_GB2312"/>
          <w:b/>
          <w:kern w:val="0"/>
          <w:sz w:val="28"/>
          <w:szCs w:val="28"/>
        </w:rPr>
        <w:t xml:space="preserve">            </w:t>
      </w:r>
      <w:r>
        <w:rPr>
          <w:rFonts w:hint="eastAsia" w:ascii="仿宋" w:hAnsi="仿宋" w:eastAsia="仿宋" w:cs="楷体_GB2312"/>
          <w:b/>
          <w:kern w:val="0"/>
          <w:sz w:val="28"/>
          <w:szCs w:val="28"/>
        </w:rPr>
        <w:t>填报日期：</w:t>
      </w:r>
      <w:r>
        <w:rPr>
          <w:rFonts w:hint="eastAsia" w:ascii="仿宋" w:hAnsi="仿宋" w:eastAsia="仿宋" w:cs="楷体_GB2312"/>
          <w:b/>
          <w:kern w:val="0"/>
          <w:sz w:val="28"/>
          <w:szCs w:val="28"/>
          <w:lang w:val="en-US" w:eastAsia="zh-CN"/>
        </w:rPr>
        <w:t>2020年3月25日</w:t>
      </w:r>
    </w:p>
    <w:tbl>
      <w:tblPr>
        <w:tblStyle w:val="2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659"/>
        <w:gridCol w:w="1196"/>
        <w:gridCol w:w="109"/>
        <w:gridCol w:w="975"/>
        <w:gridCol w:w="771"/>
        <w:gridCol w:w="1269"/>
        <w:gridCol w:w="105"/>
        <w:gridCol w:w="481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项目名称</w:t>
            </w:r>
          </w:p>
        </w:tc>
        <w:tc>
          <w:tcPr>
            <w:tcW w:w="7844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2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2"/>
                <w:lang w:eastAsia="zh-CN"/>
              </w:rPr>
              <w:t>统计调查等专项业务经费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主管部门</w:t>
            </w:r>
          </w:p>
        </w:tc>
        <w:tc>
          <w:tcPr>
            <w:tcW w:w="2939" w:type="dxa"/>
            <w:gridSpan w:val="4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2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2"/>
              </w:rPr>
              <w:t xml:space="preserve"> </w:t>
            </w:r>
          </w:p>
        </w:tc>
        <w:tc>
          <w:tcPr>
            <w:tcW w:w="214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项目实施单位</w:t>
            </w:r>
          </w:p>
        </w:tc>
        <w:tc>
          <w:tcPr>
            <w:tcW w:w="276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2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预算执行情况（万元）</w:t>
            </w:r>
          </w:p>
        </w:tc>
        <w:tc>
          <w:tcPr>
            <w:tcW w:w="18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资金来源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预算数（A）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执行数（B）</w:t>
            </w:r>
          </w:p>
        </w:tc>
        <w:tc>
          <w:tcPr>
            <w:tcW w:w="227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一般预算内拨款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70万元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48.99万元</w:t>
            </w:r>
          </w:p>
        </w:tc>
        <w:tc>
          <w:tcPr>
            <w:tcW w:w="227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2279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…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227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85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合计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70万元</w:t>
            </w:r>
          </w:p>
        </w:tc>
        <w:tc>
          <w:tcPr>
            <w:tcW w:w="185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48.99万元</w:t>
            </w:r>
          </w:p>
        </w:tc>
        <w:tc>
          <w:tcPr>
            <w:tcW w:w="227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年度绩效目标完成情况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一级指标</w:t>
            </w:r>
          </w:p>
        </w:tc>
        <w:tc>
          <w:tcPr>
            <w:tcW w:w="65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二级指标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三级指标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年初目标值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实际完成值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未完成原因及改进措施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</w:t>
            </w:r>
          </w:p>
        </w:tc>
        <w:tc>
          <w:tcPr>
            <w:tcW w:w="65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项目产出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实际完成率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统计调查专项业务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完成2020年度统计调查专项业务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质量达标率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完成及时率１００％。完成及时率＝【（计划完成时间－实际完成时间）／计划完成时间】×１００％。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100%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659" w:type="dxa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资金使用率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资金使用率=实际使用资金/专项经费总额*100%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70</w:t>
            </w:r>
            <w:r>
              <w:rPr>
                <w:rFonts w:hint="eastAsia" w:ascii="仿宋" w:hAnsi="仿宋" w:eastAsia="仿宋" w:cs="仿宋"/>
                <w:kern w:val="0"/>
              </w:rPr>
              <w:t>%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受疫情影响，多项工作未开展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改进措施：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</w:t>
            </w:r>
          </w:p>
        </w:tc>
        <w:tc>
          <w:tcPr>
            <w:tcW w:w="65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社会效益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优化统计工作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优化统计工作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70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5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0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社会公众或服务对象满意度</w:t>
            </w:r>
          </w:p>
        </w:tc>
        <w:tc>
          <w:tcPr>
            <w:tcW w:w="174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服务对象满意度90%以上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val="en-US" w:eastAsia="zh-CN"/>
              </w:rPr>
              <w:t>94.91%</w:t>
            </w:r>
          </w:p>
        </w:tc>
        <w:tc>
          <w:tcPr>
            <w:tcW w:w="2865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lang w:eastAsia="zh-CN"/>
              </w:rPr>
              <w:t>无</w:t>
            </w:r>
          </w:p>
        </w:tc>
      </w:tr>
    </w:tbl>
    <w:p>
      <w:pPr>
        <w:widowControl/>
        <w:spacing w:line="400" w:lineRule="exact"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spacing w:line="400" w:lineRule="exact"/>
        <w:ind w:firstLine="40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预算执行情况口径：预算数为调整后项目预算总额（包括上年结余结转），执行数为项目实际完成支出。</w:t>
      </w:r>
    </w:p>
    <w:p>
      <w:pPr>
        <w:widowControl/>
        <w:spacing w:line="400" w:lineRule="exact"/>
        <w:ind w:firstLine="40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定性指标分档原则：分为达成预期指标、部分达成预期指标并具有一定效果、未达成预期指标且效果较差三档。选择部分达成或未达成的，必须说明原因和改进措施。</w:t>
      </w:r>
    </w:p>
    <w:p>
      <w:pPr>
        <w:widowControl/>
        <w:spacing w:line="400" w:lineRule="exact"/>
        <w:ind w:firstLine="400" w:firstLineChars="200"/>
        <w:rPr>
          <w:rFonts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基于经济性和必要性等因素考虑，满意度指标难以统计的，在自评时可不作为必评指标。</w:t>
      </w:r>
    </w:p>
    <w:p>
      <w:pPr>
        <w:rPr>
          <w:rFonts w:hint="eastAsia" w:ascii="黑体" w:hAnsi="宋体" w:eastAsia="黑体" w:cs="黑体"/>
          <w:sz w:val="28"/>
          <w:szCs w:val="28"/>
        </w:rPr>
      </w:pP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FF93"/>
    <w:multiLevelType w:val="singleLevel"/>
    <w:tmpl w:val="1E73FF9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F0F42C3"/>
    <w:multiLevelType w:val="singleLevel"/>
    <w:tmpl w:val="2F0F42C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649AE"/>
    <w:rsid w:val="22B80F25"/>
    <w:rsid w:val="2573128C"/>
    <w:rsid w:val="308106C9"/>
    <w:rsid w:val="43AE198A"/>
    <w:rsid w:val="50D6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 (2)"/>
    <w:basedOn w:val="1"/>
    <w:qFormat/>
    <w:uiPriority w:val="0"/>
    <w:pPr>
      <w:shd w:val="clear" w:color="auto" w:fill="FFFFFF"/>
      <w:spacing w:before="180" w:after="420" w:line="490" w:lineRule="exact"/>
      <w:jc w:val="left"/>
    </w:pPr>
    <w:rPr>
      <w:rFonts w:ascii="宋体" w:hAnsi="宋体" w:cstheme="minorBid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2021-03-25T08:19:00Z</dcterms:created>
  <dc:creator>张雅玲</dc:creator>
  <cp:lastModifiedBy>Administrator</cp:lastModifiedBy>
  <dcterms:modified xsi:type="dcterms:W3CDTF">2021-03-29T03:19:16Z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