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napToGrid w:val="0"/>
        <w:spacing w:before="360" w:after="240" w:line="400" w:lineRule="exact"/>
        <w:jc w:val="center"/>
        <w:rPr>
          <w:rFonts w:hint="eastAsia" w:ascii="黑体" w:eastAsia="黑体" w:cs="黑体"/>
          <w:b w:val="0"/>
          <w:szCs w:val="44"/>
        </w:rPr>
      </w:pPr>
      <w:r>
        <w:rPr>
          <w:rFonts w:hint="eastAsia" w:ascii="黑体" w:eastAsia="黑体" w:cs="黑体"/>
          <w:b w:val="0"/>
          <w:szCs w:val="44"/>
        </w:rPr>
        <w:t>武汉市</w:t>
      </w:r>
      <w:r>
        <w:rPr>
          <w:rFonts w:hint="eastAsia" w:ascii="黑体" w:eastAsia="黑体" w:cs="黑体"/>
          <w:b w:val="0"/>
          <w:szCs w:val="44"/>
          <w:lang w:eastAsia="zh-CN"/>
        </w:rPr>
        <w:t>蔡甸区退休基金统筹管理处</w:t>
      </w:r>
    </w:p>
    <w:p>
      <w:pPr>
        <w:jc w:val="center"/>
        <w:rPr>
          <w:rFonts w:hint="eastAsia"/>
          <w:lang w:val="en-US" w:eastAsia="zh-CN"/>
        </w:rPr>
      </w:pPr>
      <w:r>
        <w:rPr>
          <w:rFonts w:hint="eastAsia" w:ascii="黑体" w:hAnsi="Times New Roman" w:eastAsia="黑体" w:cs="黑体"/>
          <w:b w:val="0"/>
          <w:kern w:val="44"/>
          <w:sz w:val="44"/>
          <w:szCs w:val="44"/>
          <w:lang w:val="en-US" w:eastAsia="zh-CN" w:bidi="ar-SA"/>
        </w:rPr>
        <w:t>2025年项目绩效目标表</w:t>
      </w:r>
      <w:bookmarkStart w:id="0" w:name="_GoBack"/>
      <w:bookmarkEnd w:id="0"/>
    </w:p>
    <w:p>
      <w:pPr>
        <w:ind w:firstLine="210" w:firstLineChars="100"/>
        <w:jc w:val="right"/>
        <w:rPr>
          <w:rFonts w:hint="default" w:eastAsia="宋体"/>
          <w:lang w:val="en-US" w:eastAsia="zh-CN"/>
        </w:rPr>
      </w:pPr>
      <w:r>
        <w:rPr>
          <w:rFonts w:hint="eastAsia" w:ascii="仿宋_GB2312" w:hAnsi="仿宋_GB2312" w:eastAsia="仿宋_GB2312" w:cs="仿宋_GB2312"/>
          <w:lang w:val="en-US" w:eastAsia="zh-CN"/>
        </w:rPr>
        <w:t>单位：万元</w:t>
      </w:r>
    </w:p>
    <w:tbl>
      <w:tblPr>
        <w:tblStyle w:val="3"/>
        <w:tblW w:w="8844" w:type="dxa"/>
        <w:tblInd w:w="5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46"/>
        <w:gridCol w:w="1146"/>
        <w:gridCol w:w="1147"/>
        <w:gridCol w:w="952"/>
        <w:gridCol w:w="1146"/>
        <w:gridCol w:w="1146"/>
        <w:gridCol w:w="1146"/>
        <w:gridCol w:w="10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项目名称</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统筹处单位往来专户资金</w:t>
            </w:r>
            <w:r>
              <w:rPr>
                <w:rFonts w:hint="eastAsia" w:ascii="仿宋_GB2312" w:hAnsi="Arial" w:eastAsia="仿宋_GB2312" w:cs="Arial"/>
                <w:color w:val="000000"/>
                <w:kern w:val="0"/>
                <w:sz w:val="24"/>
                <w:szCs w:val="24"/>
              </w:rPr>
              <w:t>　</w:t>
            </w:r>
          </w:p>
        </w:tc>
        <w:tc>
          <w:tcPr>
            <w:tcW w:w="2292"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项目编码</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hint="default" w:ascii="仿宋_GB2312" w:hAnsi="Arial" w:eastAsia="仿宋_GB2312" w:cs="Arial"/>
                <w:color w:val="000000"/>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项目主管部门</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eastAsia="zh-CN"/>
              </w:rPr>
              <w:t>蔡甸区人力资源和社会保障局</w:t>
            </w:r>
            <w:r>
              <w:rPr>
                <w:rFonts w:hint="eastAsia" w:ascii="仿宋_GB2312" w:hAnsi="Arial" w:eastAsia="仿宋_GB2312" w:cs="Arial"/>
                <w:color w:val="000000"/>
                <w:kern w:val="0"/>
                <w:sz w:val="24"/>
                <w:szCs w:val="24"/>
              </w:rPr>
              <w:t>　</w:t>
            </w:r>
          </w:p>
        </w:tc>
        <w:tc>
          <w:tcPr>
            <w:tcW w:w="2292"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项目执行单位</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eastAsia="zh-CN"/>
              </w:rPr>
              <w:t>蔡甸区退休基金统筹管理处</w:t>
            </w: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项目负责人</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eastAsia="zh-CN"/>
              </w:rPr>
              <w:t>曾刚</w:t>
            </w:r>
            <w:r>
              <w:rPr>
                <w:rFonts w:hint="eastAsia" w:ascii="仿宋_GB2312" w:hAnsi="Arial" w:eastAsia="仿宋_GB2312" w:cs="Arial"/>
                <w:color w:val="000000"/>
                <w:kern w:val="0"/>
                <w:sz w:val="24"/>
                <w:szCs w:val="24"/>
              </w:rPr>
              <w:t>　</w:t>
            </w:r>
          </w:p>
        </w:tc>
        <w:tc>
          <w:tcPr>
            <w:tcW w:w="2292"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联系电话</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13659817046</w:t>
            </w: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项目属性</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hint="eastAsia" w:ascii="仿宋_GB2312" w:hAnsi="Arial" w:eastAsia="仿宋_GB2312" w:cs="Arial"/>
                <w:color w:val="000000"/>
                <w:kern w:val="0"/>
                <w:sz w:val="24"/>
                <w:szCs w:val="24"/>
                <w:lang w:eastAsia="zh-CN"/>
              </w:rPr>
            </w:pPr>
            <w:r>
              <w:rPr>
                <w:rFonts w:hint="eastAsia" w:ascii="仿宋_GB2312" w:hAnsi="Arial" w:eastAsia="仿宋_GB2312" w:cs="Arial"/>
                <w:color w:val="000000"/>
                <w:kern w:val="0"/>
                <w:sz w:val="24"/>
                <w:szCs w:val="24"/>
                <w:lang w:eastAsia="zh-CN"/>
              </w:rPr>
              <w:t>持续性项目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支出项目类别</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hint="eastAsia" w:ascii="仿宋_GB2312" w:hAnsi="Arial" w:eastAsia="仿宋_GB2312" w:cs="Arial"/>
                <w:color w:val="000000"/>
                <w:kern w:val="0"/>
                <w:sz w:val="24"/>
                <w:szCs w:val="24"/>
                <w:lang w:eastAsia="zh-CN"/>
              </w:rPr>
            </w:pPr>
            <w:r>
              <w:rPr>
                <w:rFonts w:hint="eastAsia" w:ascii="仿宋_GB2312" w:hAnsi="Arial" w:eastAsia="仿宋_GB2312" w:cs="Arial"/>
                <w:color w:val="000000"/>
                <w:kern w:val="0"/>
                <w:sz w:val="24"/>
                <w:szCs w:val="24"/>
                <w:lang w:eastAsia="zh-CN"/>
              </w:rPr>
              <w:t>部门预算项目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起始年度</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hint="default"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lang w:val="en-US" w:eastAsia="zh-CN"/>
              </w:rPr>
              <w:t>2025年</w:t>
            </w:r>
          </w:p>
        </w:tc>
        <w:tc>
          <w:tcPr>
            <w:tcW w:w="2292"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终止年度</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hint="default"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rPr>
              <w:t>　</w:t>
            </w:r>
            <w:r>
              <w:rPr>
                <w:rFonts w:hint="eastAsia" w:ascii="仿宋_GB2312" w:hAnsi="Arial" w:eastAsia="仿宋_GB2312" w:cs="Arial"/>
                <w:color w:val="000000"/>
                <w:kern w:val="0"/>
                <w:sz w:val="24"/>
                <w:szCs w:val="24"/>
                <w:lang w:val="en-US" w:eastAsia="zh-CN"/>
              </w:rPr>
              <w:t>2025年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项目立项依据</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default" w:ascii="仿宋_GB2312" w:hAnsi="Arial" w:eastAsia="仿宋_GB2312" w:cs="Arial"/>
                <w:color w:val="000000"/>
                <w:kern w:val="0"/>
                <w:sz w:val="24"/>
                <w:szCs w:val="24"/>
                <w:lang w:val="en-US"/>
              </w:rPr>
            </w:pPr>
            <w:r>
              <w:rPr>
                <w:rFonts w:hint="eastAsia" w:ascii="仿宋_GB2312" w:hAnsi="Arial" w:eastAsia="仿宋_GB2312" w:cs="Arial"/>
                <w:color w:val="000000"/>
                <w:kern w:val="0"/>
                <w:sz w:val="24"/>
                <w:szCs w:val="24"/>
                <w:lang w:eastAsia="zh-CN"/>
              </w:rPr>
              <w:t>单位往来款（含</w:t>
            </w:r>
            <w:r>
              <w:rPr>
                <w:rFonts w:hint="eastAsia" w:ascii="仿宋_GB2312" w:hAnsi="Arial" w:eastAsia="仿宋_GB2312" w:cs="Arial"/>
                <w:color w:val="000000"/>
                <w:kern w:val="0"/>
                <w:sz w:val="24"/>
                <w:szCs w:val="24"/>
                <w:lang w:val="en-US" w:eastAsia="zh-CN"/>
              </w:rPr>
              <w:t>机保直发“老人”和“中人”补差费用</w:t>
            </w:r>
            <w:r>
              <w:rPr>
                <w:rFonts w:hint="eastAsia" w:ascii="仿宋_GB2312" w:hAnsi="Arial" w:eastAsia="仿宋_GB2312" w:cs="Arial"/>
                <w:color w:val="000000"/>
                <w:kern w:val="0"/>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项目实施方案</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eastAsia="zh-CN"/>
              </w:rPr>
              <w:t>单位往来款（含</w:t>
            </w:r>
            <w:r>
              <w:rPr>
                <w:rFonts w:hint="eastAsia" w:ascii="仿宋_GB2312" w:hAnsi="Arial" w:eastAsia="仿宋_GB2312" w:cs="Arial"/>
                <w:color w:val="000000"/>
                <w:kern w:val="0"/>
                <w:sz w:val="24"/>
                <w:szCs w:val="24"/>
                <w:lang w:val="en-US" w:eastAsia="zh-CN"/>
              </w:rPr>
              <w:t>机保直发“老人”和“中人”补差费用</w:t>
            </w:r>
            <w:r>
              <w:rPr>
                <w:rFonts w:hint="eastAsia" w:ascii="仿宋_GB2312" w:hAnsi="Arial" w:eastAsia="仿宋_GB2312" w:cs="Arial"/>
                <w:color w:val="000000"/>
                <w:kern w:val="0"/>
                <w:sz w:val="24"/>
                <w:szCs w:val="24"/>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项目总预算</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hint="default" w:ascii="仿宋_GB2312" w:hAnsi="Arial" w:eastAsia="仿宋_GB2312" w:cs="Arial"/>
                <w:color w:val="000000"/>
                <w:kern w:val="0"/>
                <w:sz w:val="24"/>
                <w:szCs w:val="24"/>
                <w:lang w:val="en-US"/>
              </w:rPr>
            </w:pPr>
            <w:r>
              <w:rPr>
                <w:rFonts w:hint="eastAsia" w:ascii="仿宋_GB2312" w:hAnsi="Arial" w:eastAsia="仿宋_GB2312" w:cs="Arial"/>
                <w:color w:val="000000"/>
                <w:kern w:val="0"/>
                <w:sz w:val="24"/>
                <w:szCs w:val="24"/>
                <w:lang w:val="en-US" w:eastAsia="zh-CN"/>
              </w:rPr>
              <w:t>248.72</w:t>
            </w:r>
          </w:p>
        </w:tc>
        <w:tc>
          <w:tcPr>
            <w:tcW w:w="2292"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项目当年预算</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hint="default" w:ascii="仿宋_GB2312" w:hAnsi="Arial" w:eastAsia="仿宋_GB2312" w:cs="Arial"/>
                <w:color w:val="000000"/>
                <w:kern w:val="0"/>
                <w:sz w:val="24"/>
                <w:szCs w:val="24"/>
                <w:lang w:val="en-US"/>
              </w:rPr>
            </w:pPr>
            <w:r>
              <w:rPr>
                <w:rFonts w:hint="eastAsia" w:ascii="仿宋_GB2312" w:hAnsi="Arial" w:eastAsia="仿宋_GB2312" w:cs="Arial"/>
                <w:color w:val="000000"/>
                <w:kern w:val="0"/>
                <w:sz w:val="24"/>
                <w:szCs w:val="24"/>
                <w:lang w:val="en-US" w:eastAsia="zh-CN"/>
              </w:rPr>
              <w:t>248.72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项目前两年预算及当年预算变动情况</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default"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lang w:val="en-US" w:eastAsia="zh-CN"/>
              </w:rPr>
              <w:t>单位往来专户资金项目2023年预算经费为248.72万元，2024年预算经费为248.72万元，2025年预算经费为248.72万元。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restart"/>
            <w:tcBorders>
              <w:top w:val="nil"/>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项目资金来源</w:t>
            </w: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来源项目</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合计</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hint="default" w:ascii="仿宋_GB2312" w:hAnsi="Calibri" w:eastAsia="仿宋_GB2312" w:cs="Arial"/>
                <w:color w:val="000000"/>
                <w:kern w:val="0"/>
                <w:sz w:val="24"/>
                <w:szCs w:val="24"/>
                <w:lang w:val="en-US"/>
              </w:rPr>
            </w:pPr>
            <w:r>
              <w:rPr>
                <w:rFonts w:hint="eastAsia" w:ascii="仿宋_GB2312" w:eastAsia="仿宋_GB2312" w:cs="Arial"/>
                <w:color w:val="000000"/>
                <w:kern w:val="0"/>
                <w:sz w:val="24"/>
                <w:szCs w:val="24"/>
                <w:lang w:val="en-US" w:eastAsia="zh-CN"/>
              </w:rPr>
              <w:t>248.72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一般公共预算财政拨款</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hint="default" w:ascii="仿宋_GB2312" w:hAnsi="Calibri" w:eastAsia="仿宋_GB2312" w:cs="Arial"/>
                <w:color w:val="000000"/>
                <w:kern w:val="0"/>
                <w:sz w:val="24"/>
                <w:szCs w:val="24"/>
                <w:lang w:val="en-US"/>
              </w:rPr>
            </w:pPr>
            <w:r>
              <w:rPr>
                <w:rFonts w:hint="eastAsia" w:ascii="仿宋_GB2312" w:eastAsia="仿宋_GB2312" w:cs="Arial"/>
                <w:color w:val="000000"/>
                <w:kern w:val="0"/>
                <w:sz w:val="24"/>
                <w:szCs w:val="24"/>
                <w:lang w:val="en-US" w:eastAsia="zh-CN"/>
              </w:rPr>
              <w:t>248.72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其中：申请当年预算拨款</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hint="default" w:ascii="仿宋_GB2312" w:hAnsi="Calibri" w:eastAsia="仿宋_GB2312" w:cs="Arial"/>
                <w:color w:val="000000"/>
                <w:kern w:val="0"/>
                <w:sz w:val="24"/>
                <w:szCs w:val="24"/>
                <w:lang w:val="en-US"/>
              </w:rPr>
            </w:pPr>
            <w:r>
              <w:rPr>
                <w:rFonts w:hint="eastAsia" w:ascii="仿宋_GB2312" w:eastAsia="仿宋_GB2312" w:cs="Arial"/>
                <w:color w:val="000000"/>
                <w:kern w:val="0"/>
                <w:sz w:val="24"/>
                <w:szCs w:val="24"/>
                <w:lang w:val="en-US" w:eastAsia="zh-CN"/>
              </w:rPr>
              <w:t>248.72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政府性基金预算财政拨款</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财政专户管理资金</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right"/>
              <w:rPr>
                <w:rFonts w:ascii="仿宋_GB2312" w:hAnsi="Arial" w:eastAsia="仿宋_GB2312" w:cs="Arial"/>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单位资金</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其中：使用上年度财政拨款结转</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844" w:type="dxa"/>
            <w:gridSpan w:val="8"/>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项目支出明细测算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项目活动</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活动内容</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表述</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支出经济</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分类</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金额</w:t>
            </w:r>
          </w:p>
        </w:tc>
        <w:tc>
          <w:tcPr>
            <w:tcW w:w="3438"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测算依据及说明</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Arial" w:eastAsia="仿宋_GB2312" w:cs="Arial"/>
                <w:color w:val="000000"/>
                <w:kern w:val="0"/>
                <w:sz w:val="24"/>
                <w:szCs w:val="24"/>
                <w:lang w:val="en-US" w:eastAsia="zh-CN"/>
              </w:rPr>
              <w:t>统筹处单位往来专户资金</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机保直发“老人”和“中人”补差费用</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人员经费</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righ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248.72</w:t>
            </w:r>
            <w:r>
              <w:rPr>
                <w:rFonts w:hint="eastAsia" w:ascii="仿宋_GB2312" w:hAnsi="宋体" w:eastAsia="仿宋_GB2312" w:cs="Arial"/>
                <w:color w:val="000000"/>
                <w:kern w:val="0"/>
                <w:sz w:val="24"/>
                <w:szCs w:val="24"/>
              </w:rPr>
              <w:t>　</w:t>
            </w:r>
          </w:p>
        </w:tc>
        <w:tc>
          <w:tcPr>
            <w:tcW w:w="3438"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eastAsia="zh-CN"/>
              </w:rPr>
              <w:t>根据《关于做好机关事业单位养老保险制度改革实施准备期资金结算相关工作的通知》（武财社</w:t>
            </w:r>
            <w:r>
              <w:rPr>
                <w:rFonts w:hint="eastAsia" w:ascii="仿宋_GB2312" w:hAnsi="宋体" w:eastAsia="仿宋_GB2312" w:cs="Arial"/>
                <w:color w:val="000000"/>
                <w:kern w:val="0"/>
                <w:sz w:val="24"/>
                <w:szCs w:val="24"/>
                <w:lang w:val="en-US" w:eastAsia="zh-CN"/>
              </w:rPr>
              <w:t>[2018]615号</w:t>
            </w:r>
            <w:r>
              <w:rPr>
                <w:rFonts w:hint="eastAsia" w:ascii="仿宋_GB2312" w:hAnsi="宋体" w:eastAsia="仿宋_GB2312" w:cs="Arial"/>
                <w:color w:val="000000"/>
                <w:kern w:val="0"/>
                <w:sz w:val="24"/>
                <w:szCs w:val="24"/>
                <w:lang w:eastAsia="zh-CN"/>
              </w:rPr>
              <w:t>）规定，单位退休人员因未在机关事业单位养老保险实施准备期结算时办理退休手续，需补发养老金。</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8844" w:type="dxa"/>
            <w:gridSpan w:val="8"/>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项目采购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品名</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数量</w:t>
            </w:r>
          </w:p>
        </w:tc>
        <w:tc>
          <w:tcPr>
            <w:tcW w:w="4453"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eastAsia="仿宋_GB2312" w:cs="Arial"/>
                <w:color w:val="000000"/>
                <w:kern w:val="0"/>
                <w:sz w:val="24"/>
                <w:szCs w:val="24"/>
              </w:rPr>
            </w:pPr>
            <w:r>
              <w:rPr>
                <w:rFonts w:hint="eastAsia" w:ascii="仿宋_GB2312" w:eastAsia="仿宋_GB2312" w:cs="Arial"/>
                <w:color w:val="000000"/>
                <w:kern w:val="0"/>
                <w:sz w:val="24"/>
                <w:szCs w:val="24"/>
              </w:rPr>
              <w:t>　</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right"/>
              <w:rPr>
                <w:rFonts w:ascii="仿宋_GB2312" w:eastAsia="仿宋_GB2312" w:cs="Arial"/>
                <w:color w:val="000000"/>
                <w:kern w:val="0"/>
                <w:sz w:val="24"/>
                <w:szCs w:val="24"/>
              </w:rPr>
            </w:pPr>
            <w:r>
              <w:rPr>
                <w:rFonts w:hint="eastAsia" w:ascii="仿宋_GB2312" w:eastAsia="仿宋_GB2312" w:cs="Arial"/>
                <w:color w:val="000000"/>
                <w:kern w:val="0"/>
                <w:sz w:val="24"/>
                <w:szCs w:val="24"/>
              </w:rPr>
              <w:t>　</w:t>
            </w:r>
          </w:p>
        </w:tc>
        <w:tc>
          <w:tcPr>
            <w:tcW w:w="4453"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8844" w:type="dxa"/>
            <w:gridSpan w:val="8"/>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项目绩效总目标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名称</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目标说明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统筹处单位往来专户资金</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Arial" w:eastAsia="仿宋_GB2312" w:cs="Arial"/>
                <w:color w:val="000000"/>
                <w:kern w:val="0"/>
                <w:sz w:val="24"/>
                <w:szCs w:val="24"/>
                <w:lang w:eastAsia="zh-CN"/>
              </w:rPr>
            </w:pPr>
            <w:r>
              <w:rPr>
                <w:rFonts w:hint="eastAsia" w:ascii="仿宋_GB2312" w:hAnsi="Arial" w:eastAsia="仿宋_GB2312" w:cs="Arial"/>
                <w:color w:val="000000"/>
                <w:kern w:val="0"/>
                <w:sz w:val="24"/>
                <w:szCs w:val="24"/>
                <w:lang w:eastAsia="zh-CN"/>
              </w:rPr>
              <w:t>保障本单位</w:t>
            </w:r>
            <w:r>
              <w:rPr>
                <w:rFonts w:hint="eastAsia" w:ascii="仿宋_GB2312" w:hAnsi="Arial" w:eastAsia="仿宋_GB2312" w:cs="Arial"/>
                <w:color w:val="000000"/>
                <w:kern w:val="0"/>
                <w:sz w:val="24"/>
                <w:szCs w:val="24"/>
                <w:lang w:val="en-US" w:eastAsia="zh-CN"/>
              </w:rPr>
              <w:t>机保直发“老人”和“中人”补差费用。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8844" w:type="dxa"/>
            <w:gridSpan w:val="8"/>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长期绩效目标表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三级指标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指标值确定依据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统筹处单位往来专户资金</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产出指标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数量指标</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保障人数</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本单位机保直发的“老人”和“中人”</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统筹处单位往来专户资金</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产出指标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质量指标</w:t>
            </w:r>
            <w:r>
              <w:rPr>
                <w:rFonts w:hint="eastAsia" w:ascii="仿宋_GB2312" w:hAnsi="宋体" w:eastAsia="仿宋_GB2312" w:cs="Arial"/>
                <w:color w:val="000000"/>
                <w:kern w:val="0"/>
                <w:sz w:val="24"/>
                <w:szCs w:val="24"/>
              </w:rPr>
              <w:t>　</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tabs>
                <w:tab w:val="left" w:pos="371"/>
              </w:tabs>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机保补差费用足额支付</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足额</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统筹处单位往来专户资金</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效益指标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社会效益指标</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单位发展情况</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保障统筹处工作有序稳定发展。</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Arial" w:eastAsia="仿宋_GB2312" w:cs="Arial"/>
                <w:color w:val="000000"/>
                <w:kern w:val="0"/>
                <w:sz w:val="24"/>
                <w:szCs w:val="24"/>
                <w:lang w:val="en-US" w:eastAsia="zh-CN"/>
              </w:rPr>
              <w:t>统筹处单位往来专户资金</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满意度指标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对象满意度</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受益对象满意度</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hint="default" w:ascii="仿宋_GB2312" w:hAnsi="宋体" w:eastAsia="仿宋_GB2312" w:cs="Arial"/>
                <w:color w:val="000000"/>
                <w:kern w:val="0"/>
                <w:sz w:val="24"/>
                <w:szCs w:val="24"/>
                <w:lang w:val="en-US"/>
              </w:rPr>
            </w:pPr>
            <w:r>
              <w:rPr>
                <w:rFonts w:hint="default" w:ascii="仿宋_GB2312" w:hAnsi="宋体" w:eastAsia="仿宋_GB2312" w:cs="Arial"/>
                <w:color w:val="000000"/>
                <w:kern w:val="0"/>
                <w:sz w:val="24"/>
                <w:szCs w:val="24"/>
                <w:lang w:val="en-US" w:eastAsia="zh-CN"/>
              </w:rPr>
              <w:t>≥</w:t>
            </w:r>
            <w:r>
              <w:rPr>
                <w:rFonts w:hint="eastAsia" w:ascii="仿宋_GB2312" w:hAnsi="宋体" w:eastAsia="仿宋_GB2312" w:cs="Arial"/>
                <w:color w:val="000000"/>
                <w:kern w:val="0"/>
                <w:sz w:val="24"/>
                <w:szCs w:val="24"/>
                <w:lang w:val="en-US" w:eastAsia="zh-CN"/>
              </w:rPr>
              <w:t>90%</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844" w:type="dxa"/>
            <w:gridSpan w:val="8"/>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年度绩效目标表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restart"/>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46" w:type="dxa"/>
            <w:vMerge w:val="restart"/>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147" w:type="dxa"/>
            <w:vMerge w:val="restart"/>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952" w:type="dxa"/>
            <w:vMerge w:val="restart"/>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w:t>
            </w:r>
          </w:p>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w:t>
            </w:r>
          </w:p>
        </w:tc>
        <w:tc>
          <w:tcPr>
            <w:tcW w:w="3438" w:type="dxa"/>
            <w:gridSpan w:val="3"/>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1015" w:type="dxa"/>
            <w:vMerge w:val="restart"/>
            <w:tcBorders>
              <w:top w:val="single" w:color="000000" w:sz="4" w:space="0"/>
              <w:left w:val="single" w:color="auto"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指标值确定</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依据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Arial"/>
                <w:color w:val="000000"/>
                <w:kern w:val="0"/>
                <w:sz w:val="24"/>
                <w:szCs w:val="24"/>
              </w:rPr>
            </w:pPr>
          </w:p>
        </w:tc>
        <w:tc>
          <w:tcPr>
            <w:tcW w:w="114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Arial"/>
                <w:color w:val="000000"/>
                <w:kern w:val="0"/>
                <w:sz w:val="24"/>
                <w:szCs w:val="24"/>
              </w:rPr>
            </w:pPr>
          </w:p>
        </w:tc>
        <w:tc>
          <w:tcPr>
            <w:tcW w:w="114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Arial"/>
                <w:color w:val="000000"/>
                <w:kern w:val="0"/>
                <w:sz w:val="24"/>
                <w:szCs w:val="24"/>
              </w:rPr>
            </w:pPr>
          </w:p>
        </w:tc>
        <w:tc>
          <w:tcPr>
            <w:tcW w:w="95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Arial"/>
                <w:color w:val="000000"/>
                <w:kern w:val="0"/>
                <w:sz w:val="24"/>
                <w:szCs w:val="24"/>
              </w:rPr>
            </w:pPr>
          </w:p>
        </w:tc>
        <w:tc>
          <w:tcPr>
            <w:tcW w:w="1146"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前年</w:t>
            </w:r>
          </w:p>
        </w:tc>
        <w:tc>
          <w:tcPr>
            <w:tcW w:w="1146"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上年</w:t>
            </w:r>
          </w:p>
        </w:tc>
        <w:tc>
          <w:tcPr>
            <w:tcW w:w="1146"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预计当年</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实现</w:t>
            </w:r>
          </w:p>
        </w:tc>
        <w:tc>
          <w:tcPr>
            <w:tcW w:w="1015" w:type="dxa"/>
            <w:vMerge w:val="continue"/>
            <w:tcBorders>
              <w:top w:val="single" w:color="000000" w:sz="4" w:space="0"/>
              <w:left w:val="single" w:color="auto" w:sz="4" w:space="0"/>
              <w:bottom w:val="single" w:color="000000" w:sz="4" w:space="0"/>
              <w:right w:val="single" w:color="000000" w:sz="4" w:space="0"/>
            </w:tcBorders>
            <w:noWrap w:val="0"/>
            <w:vAlign w:val="center"/>
          </w:tcPr>
          <w:p>
            <w:pPr>
              <w:widowControl/>
              <w:jc w:val="left"/>
              <w:rPr>
                <w:rFonts w:ascii="仿宋_GB2312" w:hAnsi="宋体" w:eastAsia="仿宋_GB2312" w:cs="Arial"/>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auto"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Arial" w:eastAsia="仿宋_GB2312" w:cs="Arial"/>
                <w:color w:val="000000"/>
                <w:kern w:val="0"/>
                <w:sz w:val="24"/>
                <w:szCs w:val="24"/>
                <w:lang w:val="en-US" w:eastAsia="zh-CN"/>
              </w:rPr>
              <w:t>统筹处单位往来专户资金</w:t>
            </w:r>
          </w:p>
        </w:tc>
        <w:tc>
          <w:tcPr>
            <w:tcW w:w="1146"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产出指标</w:t>
            </w:r>
          </w:p>
        </w:tc>
        <w:tc>
          <w:tcPr>
            <w:tcW w:w="1147"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数量指标</w:t>
            </w:r>
          </w:p>
        </w:tc>
        <w:tc>
          <w:tcPr>
            <w:tcW w:w="952"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保障人数</w:t>
            </w:r>
          </w:p>
        </w:tc>
        <w:tc>
          <w:tcPr>
            <w:tcW w:w="1146"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p>
        </w:tc>
        <w:tc>
          <w:tcPr>
            <w:tcW w:w="1146"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本单位机保直发的“老人”和“中人”</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统筹处单位往来专户资金</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产出指标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质量指标</w:t>
            </w:r>
            <w:r>
              <w:rPr>
                <w:rFonts w:hint="eastAsia" w:ascii="仿宋_GB2312" w:hAnsi="宋体" w:eastAsia="仿宋_GB2312" w:cs="Arial"/>
                <w:color w:val="000000"/>
                <w:kern w:val="0"/>
                <w:sz w:val="24"/>
                <w:szCs w:val="24"/>
              </w:rPr>
              <w:t>　</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tabs>
                <w:tab w:val="left" w:pos="371"/>
              </w:tabs>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机保补差费用足额支付</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足额</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统筹处单位往来专户资金</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效益指标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社会效益指标</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单位发展情况</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保障统筹处工作有序稳定发展。</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统筹处单位往来专户资金</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满意度指标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对象满意度</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受益对象满意度</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rPr>
            </w:pP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default" w:ascii="仿宋_GB2312" w:hAnsi="宋体" w:eastAsia="仿宋_GB2312" w:cs="Arial"/>
                <w:color w:val="000000"/>
                <w:kern w:val="0"/>
                <w:sz w:val="24"/>
                <w:szCs w:val="24"/>
                <w:lang w:val="en-US" w:eastAsia="zh-CN"/>
              </w:rPr>
              <w:t>≥</w:t>
            </w:r>
            <w:r>
              <w:rPr>
                <w:rFonts w:hint="eastAsia" w:ascii="仿宋_GB2312" w:hAnsi="宋体" w:eastAsia="仿宋_GB2312" w:cs="Arial"/>
                <w:color w:val="000000"/>
                <w:kern w:val="0"/>
                <w:sz w:val="24"/>
                <w:szCs w:val="24"/>
                <w:lang w:val="en-US" w:eastAsia="zh-CN"/>
              </w:rPr>
              <w:t>90%</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rPr>
            </w:pPr>
          </w:p>
        </w:tc>
      </w:tr>
    </w:tbl>
    <w:p/>
    <w:sectPr>
      <w:pgSz w:w="11906" w:h="16838"/>
      <w:pgMar w:top="907" w:right="1800" w:bottom="567"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iNzU5ZGE1NWE2YWZiM2QyYjcyNWUyNDU3N2IxN2QifQ=="/>
  </w:docVars>
  <w:rsids>
    <w:rsidRoot w:val="00000000"/>
    <w:rsid w:val="015E0632"/>
    <w:rsid w:val="02D759B9"/>
    <w:rsid w:val="04DF5F2E"/>
    <w:rsid w:val="0661309E"/>
    <w:rsid w:val="089D5EE4"/>
    <w:rsid w:val="090221EB"/>
    <w:rsid w:val="0CFA1B57"/>
    <w:rsid w:val="0DB25F8E"/>
    <w:rsid w:val="0E653000"/>
    <w:rsid w:val="0EC341CA"/>
    <w:rsid w:val="126E64F7"/>
    <w:rsid w:val="12CF75E2"/>
    <w:rsid w:val="13AF2F6F"/>
    <w:rsid w:val="16EB42BE"/>
    <w:rsid w:val="1A163D48"/>
    <w:rsid w:val="1AD67034"/>
    <w:rsid w:val="1B0F0EC3"/>
    <w:rsid w:val="1C257DFC"/>
    <w:rsid w:val="22405E06"/>
    <w:rsid w:val="2714160F"/>
    <w:rsid w:val="2E141EF5"/>
    <w:rsid w:val="31C83722"/>
    <w:rsid w:val="374C2700"/>
    <w:rsid w:val="38107BD1"/>
    <w:rsid w:val="39276F80"/>
    <w:rsid w:val="39BC3B6C"/>
    <w:rsid w:val="3BAA5C47"/>
    <w:rsid w:val="3C4816E7"/>
    <w:rsid w:val="41B4781F"/>
    <w:rsid w:val="446D28C8"/>
    <w:rsid w:val="47CA1B4A"/>
    <w:rsid w:val="4CD055BE"/>
    <w:rsid w:val="514F30C0"/>
    <w:rsid w:val="56C47C23"/>
    <w:rsid w:val="5D243653"/>
    <w:rsid w:val="60A725D1"/>
    <w:rsid w:val="625978FB"/>
    <w:rsid w:val="666C7096"/>
    <w:rsid w:val="66BF255F"/>
    <w:rsid w:val="6A3F387A"/>
    <w:rsid w:val="6A6D6639"/>
    <w:rsid w:val="6A9034FC"/>
    <w:rsid w:val="6B1700AD"/>
    <w:rsid w:val="6C042FCD"/>
    <w:rsid w:val="6C983716"/>
    <w:rsid w:val="6EF72976"/>
    <w:rsid w:val="742A559B"/>
    <w:rsid w:val="75BB6AEA"/>
    <w:rsid w:val="7F34107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901</Words>
  <Characters>1021</Characters>
  <Lines>0</Lines>
  <Paragraphs>0</Paragraphs>
  <TotalTime>0</TotalTime>
  <ScaleCrop>false</ScaleCrop>
  <LinksUpToDate>false</LinksUpToDate>
  <CharactersWithSpaces>1090</CharactersWithSpaces>
  <Application>WPS Office_11.8.2.11739_F1E327BC-269C-435d-A152-05C5408002CA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Mi Manchi</cp:lastModifiedBy>
  <dcterms:modified xsi:type="dcterms:W3CDTF">2025-01-14T00:51:28Z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2052-11.8.2.11739</vt:lpwstr>
  </property>
  <property fmtid="{D5CDD505-2E9C-101B-9397-08002B2CF9AE}" pid="3" name="ICV">
    <vt:lpwstr>A47C5D84466944459C64BDB1DA87701B</vt:lpwstr>
  </property>
</Properties>
</file>