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360" w:after="240" w:line="640" w:lineRule="atLeast"/>
        <w:jc w:val="center"/>
        <w:rPr>
          <w:rFonts w:ascii="黑体" w:eastAsia="黑体"/>
          <w:b w:val="0"/>
          <w:szCs w:val="44"/>
        </w:rPr>
      </w:pPr>
      <w:r>
        <w:rPr>
          <w:rFonts w:hint="eastAsia" w:ascii="黑体" w:eastAsia="黑体"/>
          <w:b w:val="0"/>
          <w:szCs w:val="44"/>
        </w:rPr>
        <w:t>武汉市蔡甸区人力资源和社会保障局      2025年项目绩效目标表</w:t>
      </w:r>
    </w:p>
    <w:p>
      <w:pPr>
        <w:rPr>
          <w:rFonts w:asciiTheme="minorEastAsia" w:hAnsiTheme="minorEastAsia" w:eastAsiaTheme="minorEastAsia"/>
        </w:rPr>
      </w:pPr>
      <w:r>
        <w:rPr>
          <w:rFonts w:hint="eastAsia" w:cs="仿宋_GB2312" w:asciiTheme="minorEastAsia" w:hAnsiTheme="minorEastAsia" w:eastAsiaTheme="minorEastAsia"/>
          <w:szCs w:val="21"/>
        </w:rPr>
        <w:t xml:space="preserve"> 资金</w:t>
      </w:r>
      <w:r>
        <w:rPr>
          <w:rFonts w:hint="eastAsia" w:cs="仿宋_GB2312" w:asciiTheme="minorEastAsia" w:hAnsiTheme="minorEastAsia" w:eastAsiaTheme="minorEastAsia"/>
        </w:rPr>
        <w:t>单位：万元</w:t>
      </w:r>
    </w:p>
    <w:tbl>
      <w:tblPr>
        <w:tblStyle w:val="5"/>
        <w:tblW w:w="9072" w:type="dxa"/>
        <w:tblInd w:w="5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0"/>
        <w:gridCol w:w="1146"/>
        <w:gridCol w:w="1147"/>
        <w:gridCol w:w="952"/>
        <w:gridCol w:w="1146"/>
        <w:gridCol w:w="1146"/>
        <w:gridCol w:w="1146"/>
        <w:gridCol w:w="12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城乡居民基本养老保险管理经费</w:t>
            </w:r>
          </w:p>
        </w:tc>
        <w:tc>
          <w:tcPr>
            <w:tcW w:w="2292"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kern w:val="0"/>
                <w:sz w:val="24"/>
                <w:szCs w:val="24"/>
              </w:rPr>
            </w:pPr>
            <w:r>
              <w:rPr>
                <w:rFonts w:hint="eastAsia" w:ascii="仿宋" w:hAnsi="仿宋" w:eastAsia="仿宋" w:cs="Arial"/>
                <w:kern w:val="0"/>
                <w:sz w:val="24"/>
                <w:szCs w:val="24"/>
              </w:rPr>
              <w:t>项目编码</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rPr>
                <w:rFonts w:ascii="仿宋" w:hAnsi="仿宋" w:eastAsia="仿宋" w:cs="Arial"/>
                <w:kern w:val="0"/>
                <w:szCs w:val="21"/>
              </w:rPr>
            </w:pPr>
            <w:r>
              <w:rPr>
                <w:rFonts w:ascii="仿宋" w:hAnsi="仿宋" w:eastAsia="仿宋" w:cs="Arial"/>
                <w:kern w:val="0"/>
                <w:szCs w:val="21"/>
              </w:rPr>
              <w:t>42011425057T000000130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武汉市蔡甸区人力资源和社会保障局</w:t>
            </w:r>
          </w:p>
        </w:tc>
        <w:tc>
          <w:tcPr>
            <w:tcW w:w="2292"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项目执行单位</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r>
              <w:rPr>
                <w:rFonts w:hint="eastAsia" w:ascii="仿宋" w:hAnsi="仿宋" w:eastAsia="仿宋" w:cs="Arial"/>
                <w:color w:val="000000"/>
                <w:kern w:val="0"/>
                <w:sz w:val="24"/>
                <w:szCs w:val="24"/>
              </w:rPr>
              <w:t>　武汉市蔡甸区城乡居民社会养老保险</w:t>
            </w:r>
            <w:r>
              <w:rPr>
                <w:rFonts w:hint="eastAsia" w:ascii="仿宋" w:hAnsi="仿宋" w:eastAsia="仿宋" w:cs="Arial"/>
                <w:color w:val="000000"/>
                <w:kern w:val="0"/>
                <w:sz w:val="24"/>
                <w:szCs w:val="24"/>
                <w:lang w:val="en-US" w:eastAsia="zh-CN"/>
              </w:rPr>
              <w:t>服务中心</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陈俊</w:t>
            </w:r>
          </w:p>
        </w:tc>
        <w:tc>
          <w:tcPr>
            <w:tcW w:w="2292"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联系电话</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r>
              <w:rPr>
                <w:rFonts w:ascii="仿宋" w:hAnsi="仿宋" w:eastAsia="仿宋" w:cs="Arial"/>
                <w:color w:val="000000"/>
                <w:kern w:val="0"/>
                <w:sz w:val="24"/>
                <w:szCs w:val="24"/>
              </w:rPr>
              <w:t>84992662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项目属性</w:t>
            </w:r>
          </w:p>
        </w:tc>
        <w:tc>
          <w:tcPr>
            <w:tcW w:w="6786"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支出项目类别</w:t>
            </w:r>
          </w:p>
        </w:tc>
        <w:tc>
          <w:tcPr>
            <w:tcW w:w="6786"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本级支出项目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2025</w:t>
            </w:r>
          </w:p>
        </w:tc>
        <w:tc>
          <w:tcPr>
            <w:tcW w:w="2292"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终止年度</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2025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项目立项依据</w:t>
            </w:r>
          </w:p>
        </w:tc>
        <w:tc>
          <w:tcPr>
            <w:tcW w:w="6786"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省人民政府关于完善城乡居民基本养老保险制度的意见》（鄂政发[2015]41号）、市人民政府关于进一步完善城乡居民基本养老保险制度的实施意见》（武政规[2021]21号）、《区人民政府关于完善城乡居民基本养老保险制度的实施意见》（蔡政规[2015]2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项目实施方案</w:t>
            </w:r>
          </w:p>
        </w:tc>
        <w:tc>
          <w:tcPr>
            <w:tcW w:w="6786"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Cs w:val="21"/>
              </w:rPr>
            </w:pPr>
            <w:r>
              <w:rPr>
                <w:rFonts w:hint="eastAsia" w:ascii="仿宋" w:hAnsi="仿宋" w:eastAsia="仿宋" w:cs="Arial"/>
                <w:color w:val="000000"/>
                <w:kern w:val="0"/>
                <w:sz w:val="24"/>
                <w:szCs w:val="24"/>
              </w:rPr>
              <w:t>　</w:t>
            </w:r>
            <w:r>
              <w:rPr>
                <w:rFonts w:hint="eastAsia" w:ascii="仿宋" w:hAnsi="仿宋" w:eastAsia="仿宋" w:cs="Arial"/>
                <w:color w:val="000000"/>
                <w:kern w:val="0"/>
                <w:szCs w:val="21"/>
              </w:rPr>
              <w:t xml:space="preserve">2025年城乡居民养老保险工作的总体要求是：坚持民生为本、保障优先的工作主线，进一步巩固城乡居民社会养老保险制度全覆盖成果，着力完善政策措施，强化基础管理，提升服务能力，全面完成各项目标任务，推动城乡居民养老保险工作持续健康发展。    </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一、目标任务</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坚持和完善社会统筹与个人账户相结合的制度模式，巩固和拓宽个人缴费、集体补助、政府补贴相结合的资金筹集渠道，完善基础养老金和个人账户养老金相结合的待遇支付政策，强化长缴多得、多缴多得等激励机制，建立基础养老金正常调整机制，健全服务网络，提高管理水平，为参保居民提供方便快捷的服务。全面建成公平、统一、规范的城乡居民养老保险制度，与社会救助、社会福利等其他社会保障政策相配套，充分发挥家庭养老等传统保障方式的积极作用，更好保障参保城乡居民的老年基本生活。</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二、组织领导</w:t>
            </w:r>
          </w:p>
          <w:p>
            <w:pPr>
              <w:widowControl/>
              <w:snapToGrid w:val="0"/>
              <w:ind w:firstLine="315" w:firstLineChars="150"/>
              <w:jc w:val="left"/>
              <w:rPr>
                <w:rFonts w:ascii="仿宋" w:hAnsi="仿宋" w:eastAsia="仿宋" w:cs="Arial"/>
                <w:color w:val="000000"/>
                <w:kern w:val="0"/>
                <w:szCs w:val="21"/>
              </w:rPr>
            </w:pPr>
            <w:r>
              <w:rPr>
                <w:rFonts w:hint="eastAsia" w:ascii="仿宋" w:hAnsi="仿宋" w:eastAsia="仿宋" w:cs="Arial"/>
                <w:color w:val="000000"/>
                <w:kern w:val="0"/>
                <w:szCs w:val="21"/>
              </w:rPr>
              <w:t xml:space="preserve">人社部门要进一步加强城乡居民养老保险工作组织领导，主要领导要负总责，分管领导具体研究推进。各级城乡居民养老保险经办机构要统一领导和组织实施本地区城乡居民养老保险工作，检查、督导工作开展情况，解决工作中的困难和问题。形成政府领导、人力资源和社会保障部门主管、各部门相互配合的上下联动工作机制。  </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三、基本要求</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一）加强工作的主动性。区人社部门要在全面分析总结2023年工作开展情况基础上，提前谋划2024年工作，进一步提高城乡居民养老保险工作的主动性和预见性，理清工作思路，把握工作节奏，统筹考虑目标任务、参保续保、经费保障、人员队伍、经办管理等各方面工作，强化工作的执行力，力争把工作落到实处。</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二）把握工作的规律性。城乡居民养老保险工作与其他民生工程相比，具有常态化和突击性双重特点。常态化是指参保续保工作要日日办，月月抓，群众有需要，我们就办理。突击性是指城乡居保工作要根据农村实际和特点，善于抓住春节、中秋、春耕秋收外出务工人员返乡之际，集中开展参保登记“突击月、攻坚月”等活动。</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三）加强工作调度指导。实行月统计和定期调度制度，实时掌握工作进展和工作中存在的问题。深入基层一线，有针对性地进行业务指导，协调解决工作中出现的实际问题，总结推广工作中的好经验、好做法。继续开展专项工作督查，督促落实重点任务，确保城乡居民社会养老保险工作顺利开展。</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四）加大平时考核力度。按照转变工作作风的要求，改革考核方式，坚持以日常考核为主，年终考评为辅。重点考核政策落实、经办服务、基金安全、档案管理、群众知晓度和满意度为重点，建立和完善城乡居民社会养老保险工作的综合考评机制。</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四、重点工作</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（一）抓好参（续）保工作。续保工作是城乡居民养老保险的重点和难点工作。要进一步强化工作措施，创新工作方法。引导群众“多缴多得、长缴多得”。</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二）抓好宣传工作。抓住城乡居民养老保险实施办法的出台，养老保险待遇提高，政策不断完善的机遇，广泛深入开展政策宣传引导活动。不断丰富宣传手段，创新宣传方式，拓宽宣传路径，不断增进广大城乡居民对政策的知晓度，充分调动他们的参保积极性，积极引导城乡居民自觉自愿参保。</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三）抓好个人账户管理。指导各地规范开展参保人员建账、记账和实账管理。继续开展城乡居民社会养老保险个人账户管理情况专项检查，切实维护参保人权益。按照有关养老保险制度衔接的政策规定，做好相关数据比对迁移。</w:t>
            </w:r>
          </w:p>
          <w:p>
            <w:pPr>
              <w:widowControl/>
              <w:snapToGrid w:val="0"/>
              <w:ind w:firstLine="420" w:firstLineChars="200"/>
              <w:jc w:val="left"/>
              <w:rPr>
                <w:rFonts w:ascii="仿宋" w:hAnsi="仿宋" w:eastAsia="仿宋" w:cs="Arial"/>
                <w:color w:val="000000"/>
                <w:kern w:val="0"/>
                <w:szCs w:val="21"/>
              </w:rPr>
            </w:pPr>
            <w:r>
              <w:rPr>
                <w:rFonts w:hint="eastAsia" w:ascii="仿宋" w:hAnsi="仿宋" w:eastAsia="仿宋" w:cs="Arial"/>
                <w:color w:val="000000"/>
                <w:kern w:val="0"/>
                <w:szCs w:val="21"/>
              </w:rPr>
              <w:t>（四）抓好被征地农民养老参加居民基本养老保险历史资料清理工作。。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3</w:t>
            </w:r>
          </w:p>
        </w:tc>
        <w:tc>
          <w:tcPr>
            <w:tcW w:w="2292"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项目当年预算</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项目前两年预算及当年预算变动情况</w:t>
            </w:r>
          </w:p>
        </w:tc>
        <w:tc>
          <w:tcPr>
            <w:tcW w:w="6786"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2023年预算29.6万元，2024年预算10万元。2025年预算3元，比2024年减少70%。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来源项目</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 w:hAnsi="仿宋" w:eastAsia="仿宋"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合计</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 w:hAnsi="仿宋" w:eastAsia="仿宋"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一般公共预算财政拨款</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 w:hAnsi="仿宋" w:eastAsia="仿宋"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xml:space="preserve">  其中：申请当年预算拨款</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 w:hAnsi="仿宋" w:eastAsia="仿宋"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政府性基金预算财政拨款</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 w:hAnsi="仿宋" w:eastAsia="仿宋"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财政专户管理资金</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 w:hAnsi="仿宋" w:eastAsia="仿宋"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 w:hAnsi="仿宋" w:eastAsia="仿宋"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单位资金</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86" w:type="dxa"/>
            <w:gridSpan w:val="2"/>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 w:hAnsi="仿宋" w:eastAsia="仿宋"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xml:space="preserve">  其中：使用上年度财政拨款结转</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072"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活动内容</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支出经济</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测算依据及说明</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65"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城乡居民基本养老保险经办</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从事城乡居民基本养老业务</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办公费</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2</w:t>
            </w:r>
          </w:p>
        </w:tc>
        <w:tc>
          <w:tcPr>
            <w:tcW w:w="343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r>
              <w:rPr>
                <w:rFonts w:hint="eastAsia" w:ascii="仿宋" w:hAnsi="仿宋" w:eastAsia="仿宋"/>
                <w:sz w:val="24"/>
                <w:szCs w:val="24"/>
              </w:rPr>
              <w:t>《省人民政府关于完善城乡居民基本养老保险制度的意见》（鄂政发﹝2015﹞41号）。关系转移，各种表格资料。</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99"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城乡居民基本养老保险经办</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从事城乡居民基本养老业务</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其他交通费</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1</w:t>
            </w:r>
          </w:p>
        </w:tc>
        <w:tc>
          <w:tcPr>
            <w:tcW w:w="343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sz w:val="24"/>
                <w:szCs w:val="24"/>
              </w:rPr>
              <w:t>《省人民政府关于完善城乡居民基本养老保险制度的意见》（鄂政发﹝2015﹞41号）。</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072"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数量</w:t>
            </w:r>
          </w:p>
        </w:tc>
        <w:tc>
          <w:tcPr>
            <w:tcW w:w="46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p>
        </w:tc>
        <w:tc>
          <w:tcPr>
            <w:tcW w:w="46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c>
          <w:tcPr>
            <w:tcW w:w="46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9072"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名称</w:t>
            </w:r>
          </w:p>
        </w:tc>
        <w:tc>
          <w:tcPr>
            <w:tcW w:w="6786"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8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Cs w:val="21"/>
              </w:rPr>
              <w:t>完善我区城乡居民基本养老保险</w:t>
            </w:r>
          </w:p>
        </w:tc>
        <w:tc>
          <w:tcPr>
            <w:tcW w:w="6786"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 w:hAnsi="仿宋" w:eastAsia="仿宋" w:cs="Arial"/>
                <w:color w:val="000000"/>
                <w:kern w:val="0"/>
                <w:sz w:val="24"/>
                <w:szCs w:val="24"/>
              </w:rPr>
            </w:pPr>
            <w:r>
              <w:rPr>
                <w:rFonts w:hint="eastAsia" w:ascii="仿宋" w:hAnsi="仿宋" w:eastAsia="仿宋" w:cs="Arial"/>
                <w:color w:val="000000"/>
                <w:kern w:val="0"/>
                <w:sz w:val="24"/>
                <w:szCs w:val="24"/>
              </w:rPr>
              <w:t>　坚持和完善社会统筹与个人账户相结合的制度模式，巩固和拓宽个人缴费、集体补助、政府补贴相结合的资金筹集渠道，完善基础养老金和个人账户养老金相结合的待遇支付政策，强化长缴多得、多缴多得等激励机制，建立基础养老金正常调整机制，健全服务网络，提高管理水平，为参保居民提供方便快捷的服务。全面建成公平、统一、规范的城乡居民养老保险制度，与社会救助、社会福利等其他社会保障政策相配套，充分发挥家庭养老等传统保障方式的积极作用，更好保障参保城乡居民的老年基本生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9072"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产出</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数量指标</w:t>
            </w:r>
          </w:p>
        </w:tc>
        <w:tc>
          <w:tcPr>
            <w:tcW w:w="209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养老保实际险缴费  人数</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＞57000人</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Cs w:val="21"/>
              </w:rPr>
              <w:t>作为后期社会保险费征缴工作的重要考核指标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产出</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数量指标</w:t>
            </w:r>
          </w:p>
        </w:tc>
        <w:tc>
          <w:tcPr>
            <w:tcW w:w="209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养老保险生存认证率</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＞98%</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Cs w:val="21"/>
              </w:rPr>
              <w:t>核实养老保险生存认证是否达到年初计划数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效果</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相关群体感受</w:t>
            </w:r>
          </w:p>
        </w:tc>
        <w:tc>
          <w:tcPr>
            <w:tcW w:w="209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民众满意度</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＞95%</w:t>
            </w:r>
          </w:p>
        </w:tc>
        <w:tc>
          <w:tcPr>
            <w:tcW w:w="2395"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调</w:t>
            </w:r>
            <w:r>
              <w:rPr>
                <w:rFonts w:hint="eastAsia" w:ascii="仿宋" w:hAnsi="仿宋" w:eastAsia="仿宋" w:cs="Arial"/>
                <w:color w:val="000000"/>
                <w:kern w:val="0"/>
                <w:szCs w:val="21"/>
              </w:rPr>
              <w:t>查民众对居民养老保险的态度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9072" w:type="dxa"/>
            <w:gridSpan w:val="8"/>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b/>
                <w:bCs/>
                <w:color w:val="000000"/>
                <w:kern w:val="0"/>
                <w:sz w:val="24"/>
                <w:szCs w:val="24"/>
              </w:rPr>
            </w:pPr>
            <w:r>
              <w:rPr>
                <w:rFonts w:hint="eastAsia" w:ascii="仿宋" w:hAnsi="仿宋" w:eastAsia="仿宋"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0"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三级</w:t>
            </w:r>
          </w:p>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w:t>
            </w:r>
          </w:p>
        </w:tc>
        <w:tc>
          <w:tcPr>
            <w:tcW w:w="1249" w:type="dxa"/>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指标值确定</w:t>
            </w:r>
          </w:p>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0"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ign w:val="center"/>
          </w:tcPr>
          <w:p>
            <w:pPr>
              <w:widowControl/>
              <w:jc w:val="center"/>
              <w:rPr>
                <w:rFonts w:ascii="仿宋" w:hAnsi="仿宋" w:eastAsia="仿宋"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24"/>
                <w:szCs w:val="24"/>
              </w:rPr>
            </w:pPr>
            <w:r>
              <w:rPr>
                <w:rFonts w:hint="eastAsia" w:ascii="仿宋" w:hAnsi="仿宋" w:eastAsia="仿宋" w:cs="Arial"/>
                <w:color w:val="000000"/>
                <w:kern w:val="0"/>
                <w:sz w:val="24"/>
                <w:szCs w:val="24"/>
              </w:rPr>
              <w:t>预计当年</w:t>
            </w:r>
            <w:r>
              <w:rPr>
                <w:rFonts w:hint="eastAsia" w:ascii="仿宋" w:hAnsi="仿宋" w:eastAsia="仿宋" w:cs="Arial"/>
                <w:color w:val="000000"/>
                <w:kern w:val="0"/>
                <w:sz w:val="24"/>
                <w:szCs w:val="24"/>
              </w:rPr>
              <w:br w:type="textWrapping"/>
            </w:r>
            <w:r>
              <w:rPr>
                <w:rFonts w:hint="eastAsia" w:ascii="仿宋" w:hAnsi="仿宋" w:eastAsia="仿宋" w:cs="Arial"/>
                <w:color w:val="000000"/>
                <w:kern w:val="0"/>
                <w:sz w:val="24"/>
                <w:szCs w:val="24"/>
              </w:rPr>
              <w:t>实现</w:t>
            </w:r>
          </w:p>
        </w:tc>
        <w:tc>
          <w:tcPr>
            <w:tcW w:w="1249" w:type="dxa"/>
            <w:vMerge w:val="continue"/>
            <w:tcBorders>
              <w:top w:val="single" w:color="000000" w:sz="4" w:space="0"/>
              <w:left w:val="single" w:color="auto" w:sz="4" w:space="0"/>
              <w:bottom w:val="single" w:color="000000" w:sz="4" w:space="0"/>
              <w:right w:val="single" w:color="000000" w:sz="4" w:space="0"/>
            </w:tcBorders>
            <w:noWrap/>
            <w:vAlign w:val="center"/>
          </w:tcPr>
          <w:p>
            <w:pPr>
              <w:widowControl/>
              <w:jc w:val="center"/>
              <w:rPr>
                <w:rFonts w:ascii="仿宋" w:hAnsi="仿宋" w:eastAsia="仿宋"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2" w:hRule="atLeast"/>
        </w:trPr>
        <w:tc>
          <w:tcPr>
            <w:tcW w:w="1140" w:type="dxa"/>
            <w:tcBorders>
              <w:top w:val="single" w:color="auto"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产出</w:t>
            </w:r>
          </w:p>
        </w:tc>
        <w:tc>
          <w:tcPr>
            <w:tcW w:w="1147"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数量指标</w:t>
            </w:r>
          </w:p>
        </w:tc>
        <w:tc>
          <w:tcPr>
            <w:tcW w:w="952"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18"/>
                <w:szCs w:val="18"/>
              </w:rPr>
            </w:pPr>
            <w:r>
              <w:rPr>
                <w:rFonts w:hint="eastAsia" w:ascii="仿宋" w:hAnsi="仿宋" w:eastAsia="仿宋" w:cs="Arial"/>
                <w:color w:val="000000"/>
                <w:kern w:val="0"/>
                <w:sz w:val="18"/>
                <w:szCs w:val="18"/>
              </w:rPr>
              <w:t>养老保险资格认证人数</w:t>
            </w:r>
          </w:p>
        </w:tc>
        <w:tc>
          <w:tcPr>
            <w:tcW w:w="1146"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＞68000人</w:t>
            </w:r>
          </w:p>
        </w:tc>
        <w:tc>
          <w:tcPr>
            <w:tcW w:w="1146"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＞68000人</w:t>
            </w:r>
          </w:p>
        </w:tc>
        <w:tc>
          <w:tcPr>
            <w:tcW w:w="1146"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＞70000人</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 w:val="18"/>
                <w:szCs w:val="18"/>
              </w:rPr>
            </w:pPr>
            <w:r>
              <w:rPr>
                <w:rFonts w:hint="eastAsia" w:ascii="仿宋" w:hAnsi="仿宋" w:eastAsia="仿宋" w:cs="Arial"/>
                <w:color w:val="000000"/>
                <w:kern w:val="0"/>
                <w:sz w:val="18"/>
                <w:szCs w:val="18"/>
              </w:rPr>
              <w:t>2024年决算领取待遇人数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产出</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数量指标</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养老保险实际缴费  人数</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＞60000人</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＞55000人</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＞57000人</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作为后期社会保险费征缴工作的重要考核指标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产出</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数量指标</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基金征缴工作完成率</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＞90%</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＞90%</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＞90%</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基金征缴工作是否达到年初计划数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产出</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质量指标</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财政补助资金到位及时率</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100%</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100%</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100%</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核实财政补助资金到位的及时性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效果</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社会效益</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民众依法领取（养老保险)率</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ascii="仿宋" w:hAnsi="仿宋" w:eastAsia="仿宋" w:cs="Arial"/>
                <w:color w:val="000000"/>
                <w:kern w:val="0"/>
                <w:szCs w:val="21"/>
              </w:rPr>
              <w:t>100%</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ascii="仿宋" w:hAnsi="仿宋" w:eastAsia="仿宋" w:cs="Arial"/>
                <w:color w:val="000000"/>
                <w:kern w:val="0"/>
                <w:szCs w:val="21"/>
              </w:rPr>
              <w:t>100%</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ascii="仿宋" w:hAnsi="仿宋" w:eastAsia="仿宋" w:cs="Arial"/>
                <w:color w:val="000000"/>
                <w:kern w:val="0"/>
                <w:szCs w:val="21"/>
              </w:rPr>
              <w:t>100%</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核实民众是否按照规定领取养老保险。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0" w:type="dxa"/>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城乡居民基本养老保险</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效果</w:t>
            </w:r>
          </w:p>
        </w:tc>
        <w:tc>
          <w:tcPr>
            <w:tcW w:w="1147"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相关群体感受</w:t>
            </w:r>
          </w:p>
        </w:tc>
        <w:tc>
          <w:tcPr>
            <w:tcW w:w="952"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城乡居民满意度</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＞95%</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＞95%</w:t>
            </w:r>
          </w:p>
        </w:tc>
        <w:tc>
          <w:tcPr>
            <w:tcW w:w="1146"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＞95%</w:t>
            </w:r>
          </w:p>
        </w:tc>
        <w:tc>
          <w:tcPr>
            <w:tcW w:w="124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 w:hAnsi="仿宋" w:eastAsia="仿宋" w:cs="Arial"/>
                <w:color w:val="000000"/>
                <w:kern w:val="0"/>
                <w:szCs w:val="21"/>
              </w:rPr>
            </w:pPr>
            <w:r>
              <w:rPr>
                <w:rFonts w:hint="eastAsia" w:ascii="仿宋" w:hAnsi="仿宋" w:eastAsia="仿宋" w:cs="Arial"/>
                <w:color w:val="000000"/>
                <w:kern w:val="0"/>
                <w:szCs w:val="21"/>
              </w:rPr>
              <w:t>调查民众对居民养老保险的态度</w:t>
            </w:r>
          </w:p>
        </w:tc>
      </w:tr>
    </w:tbl>
    <w:p>
      <w:pPr>
        <w:rPr>
          <w:rFonts w:ascii="仿宋" w:hAnsi="仿宋" w:eastAsia="仿宋"/>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950A0"/>
    <w:rsid w:val="000002AD"/>
    <w:rsid w:val="00011A54"/>
    <w:rsid w:val="0007124B"/>
    <w:rsid w:val="000B2854"/>
    <w:rsid w:val="000C01C6"/>
    <w:rsid w:val="000E0AC1"/>
    <w:rsid w:val="000F2C2F"/>
    <w:rsid w:val="000F43C7"/>
    <w:rsid w:val="00100483"/>
    <w:rsid w:val="00122B79"/>
    <w:rsid w:val="00141939"/>
    <w:rsid w:val="00142F74"/>
    <w:rsid w:val="0014489A"/>
    <w:rsid w:val="00151632"/>
    <w:rsid w:val="0015221C"/>
    <w:rsid w:val="00152AFD"/>
    <w:rsid w:val="00187E20"/>
    <w:rsid w:val="001D0F12"/>
    <w:rsid w:val="00244CA0"/>
    <w:rsid w:val="00244DEC"/>
    <w:rsid w:val="00284A8B"/>
    <w:rsid w:val="002B5ADD"/>
    <w:rsid w:val="002B61F2"/>
    <w:rsid w:val="002C6771"/>
    <w:rsid w:val="002F2AD7"/>
    <w:rsid w:val="00300E77"/>
    <w:rsid w:val="003014ED"/>
    <w:rsid w:val="0030641C"/>
    <w:rsid w:val="00312383"/>
    <w:rsid w:val="00323D68"/>
    <w:rsid w:val="003750CE"/>
    <w:rsid w:val="00391030"/>
    <w:rsid w:val="00395C6D"/>
    <w:rsid w:val="003C6557"/>
    <w:rsid w:val="003E5197"/>
    <w:rsid w:val="00430A1B"/>
    <w:rsid w:val="00454B80"/>
    <w:rsid w:val="00462F5C"/>
    <w:rsid w:val="00473DCD"/>
    <w:rsid w:val="004920CC"/>
    <w:rsid w:val="00497A08"/>
    <w:rsid w:val="004C6B9C"/>
    <w:rsid w:val="004D00C2"/>
    <w:rsid w:val="004E24D7"/>
    <w:rsid w:val="004E394B"/>
    <w:rsid w:val="004E63FB"/>
    <w:rsid w:val="00572C89"/>
    <w:rsid w:val="005871D2"/>
    <w:rsid w:val="005A1136"/>
    <w:rsid w:val="00610E71"/>
    <w:rsid w:val="00627BE4"/>
    <w:rsid w:val="006553BF"/>
    <w:rsid w:val="00655946"/>
    <w:rsid w:val="00684F06"/>
    <w:rsid w:val="006A14B2"/>
    <w:rsid w:val="006A47EC"/>
    <w:rsid w:val="006B0641"/>
    <w:rsid w:val="006B2022"/>
    <w:rsid w:val="006E3501"/>
    <w:rsid w:val="007042D3"/>
    <w:rsid w:val="00736099"/>
    <w:rsid w:val="00750185"/>
    <w:rsid w:val="007A39DF"/>
    <w:rsid w:val="007C0B52"/>
    <w:rsid w:val="007D70CB"/>
    <w:rsid w:val="00804A10"/>
    <w:rsid w:val="0081378A"/>
    <w:rsid w:val="0083301D"/>
    <w:rsid w:val="00852F90"/>
    <w:rsid w:val="00853EB1"/>
    <w:rsid w:val="00856DA7"/>
    <w:rsid w:val="00885D3E"/>
    <w:rsid w:val="00894386"/>
    <w:rsid w:val="008A4258"/>
    <w:rsid w:val="008B084B"/>
    <w:rsid w:val="008B52D0"/>
    <w:rsid w:val="008D13D8"/>
    <w:rsid w:val="008E2A82"/>
    <w:rsid w:val="00923318"/>
    <w:rsid w:val="00930457"/>
    <w:rsid w:val="009311E7"/>
    <w:rsid w:val="009713F5"/>
    <w:rsid w:val="00983190"/>
    <w:rsid w:val="009B04BC"/>
    <w:rsid w:val="009D39B8"/>
    <w:rsid w:val="00A0205E"/>
    <w:rsid w:val="00A13920"/>
    <w:rsid w:val="00A153E9"/>
    <w:rsid w:val="00A22C60"/>
    <w:rsid w:val="00A2360A"/>
    <w:rsid w:val="00A343EC"/>
    <w:rsid w:val="00A56AE1"/>
    <w:rsid w:val="00A62F97"/>
    <w:rsid w:val="00A64F10"/>
    <w:rsid w:val="00A93903"/>
    <w:rsid w:val="00AB2DDC"/>
    <w:rsid w:val="00AE257D"/>
    <w:rsid w:val="00AE74A2"/>
    <w:rsid w:val="00AF343C"/>
    <w:rsid w:val="00B060EF"/>
    <w:rsid w:val="00B22B89"/>
    <w:rsid w:val="00B664CB"/>
    <w:rsid w:val="00B72451"/>
    <w:rsid w:val="00B91F38"/>
    <w:rsid w:val="00BB3853"/>
    <w:rsid w:val="00BB3E9A"/>
    <w:rsid w:val="00BB7CBF"/>
    <w:rsid w:val="00BC3BCC"/>
    <w:rsid w:val="00BE72AA"/>
    <w:rsid w:val="00BF4B6B"/>
    <w:rsid w:val="00C06560"/>
    <w:rsid w:val="00C6164A"/>
    <w:rsid w:val="00C635A7"/>
    <w:rsid w:val="00CC0164"/>
    <w:rsid w:val="00CC061A"/>
    <w:rsid w:val="00CD3520"/>
    <w:rsid w:val="00D054CE"/>
    <w:rsid w:val="00D11A58"/>
    <w:rsid w:val="00D57351"/>
    <w:rsid w:val="00D96C4F"/>
    <w:rsid w:val="00DE0F9D"/>
    <w:rsid w:val="00E023C5"/>
    <w:rsid w:val="00E128CD"/>
    <w:rsid w:val="00E2548E"/>
    <w:rsid w:val="00E3376D"/>
    <w:rsid w:val="00E44088"/>
    <w:rsid w:val="00E51785"/>
    <w:rsid w:val="00E54F6A"/>
    <w:rsid w:val="00E6638C"/>
    <w:rsid w:val="00E7326E"/>
    <w:rsid w:val="00E760FC"/>
    <w:rsid w:val="00E82DA3"/>
    <w:rsid w:val="00E85F83"/>
    <w:rsid w:val="00E939C4"/>
    <w:rsid w:val="00E950A0"/>
    <w:rsid w:val="00F05702"/>
    <w:rsid w:val="00F14E13"/>
    <w:rsid w:val="00F4461B"/>
    <w:rsid w:val="00F64C1D"/>
    <w:rsid w:val="00F7450C"/>
    <w:rsid w:val="00F80FD5"/>
    <w:rsid w:val="00F959C1"/>
    <w:rsid w:val="00FB3642"/>
    <w:rsid w:val="00FE4388"/>
    <w:rsid w:val="31063275"/>
    <w:rsid w:val="66BF25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
    <w:qFormat/>
    <w:uiPriority w:val="0"/>
    <w:pPr>
      <w:keepNext/>
      <w:keepLines/>
      <w:spacing w:before="340" w:after="330" w:line="578"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Char"/>
    <w:basedOn w:val="6"/>
    <w:link w:val="2"/>
    <w:qFormat/>
    <w:uiPriority w:val="0"/>
    <w:rPr>
      <w:rFonts w:ascii="Times New Roman" w:hAnsi="Times New Roman" w:eastAsia="宋体" w:cs="Times New Roman"/>
      <w:b/>
      <w:kern w:val="44"/>
      <w:sz w:val="44"/>
    </w:rPr>
  </w:style>
  <w:style w:type="character" w:customStyle="1" w:styleId="8">
    <w:name w:val="页眉 Char"/>
    <w:basedOn w:val="6"/>
    <w:link w:val="4"/>
    <w:qFormat/>
    <w:uiPriority w:val="0"/>
    <w:rPr>
      <w:rFonts w:ascii="Times New Roman" w:hAnsi="Times New Roman" w:eastAsia="宋体" w:cs="Times New Roman"/>
      <w:kern w:val="2"/>
      <w:sz w:val="18"/>
      <w:szCs w:val="18"/>
    </w:rPr>
  </w:style>
  <w:style w:type="character" w:customStyle="1" w:styleId="9">
    <w:name w:val="页脚 Char"/>
    <w:basedOn w:val="6"/>
    <w:link w:val="3"/>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EAA60-93AD-4A20-A143-0A1CCF33FCA5}">
  <ds:schemaRefs/>
</ds:datastoreItem>
</file>

<file path=docProps/app.xml><?xml version="1.0" encoding="utf-8"?>
<Properties xmlns="http://schemas.openxmlformats.org/officeDocument/2006/extended-properties" xmlns:vt="http://schemas.openxmlformats.org/officeDocument/2006/docPropsVTypes">
  <Template>Normal</Template>
  <Company>博恒笔记本电脑大卖场</Company>
  <Pages>4</Pages>
  <Words>468</Words>
  <Characters>2670</Characters>
  <Lines>22</Lines>
  <Paragraphs>6</Paragraphs>
  <TotalTime>0</TotalTime>
  <ScaleCrop>false</ScaleCrop>
  <LinksUpToDate>false</LinksUpToDate>
  <CharactersWithSpaces>3132</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2021-12-28T05:16:00Z</cp:lastPrinted>
  <dcterms:modified xsi:type="dcterms:W3CDTF">2025-01-13T08:31:44Z</dcterms:modified>
  <cp:revision>275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A47C5D84466944459C64BDB1DA87701B</vt:lpwstr>
  </property>
</Properties>
</file>