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640" w:lineRule="atLeast"/>
        <w:jc w:val="center"/>
        <w:rPr>
          <w:rFonts w:hint="eastAsia" w:ascii="宋体" w:hAnsi="宋体" w:eastAsia="宋体" w:cs="宋体"/>
          <w:b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sz w:val="44"/>
          <w:szCs w:val="44"/>
          <w:lang w:val="en-US" w:eastAsia="zh-CN"/>
        </w:rPr>
        <w:t>基层人社2025年</w:t>
      </w:r>
      <w:r>
        <w:rPr>
          <w:rFonts w:hint="eastAsia" w:ascii="宋体" w:hAnsi="宋体" w:eastAsia="宋体" w:cs="宋体"/>
          <w:b w:val="0"/>
          <w:sz w:val="44"/>
          <w:szCs w:val="44"/>
        </w:rPr>
        <w:t>项目绩效目标</w:t>
      </w:r>
      <w:r>
        <w:rPr>
          <w:rFonts w:hint="eastAsia" w:ascii="宋体" w:hAnsi="宋体" w:eastAsia="宋体" w:cs="宋体"/>
          <w:b w:val="0"/>
          <w:sz w:val="44"/>
          <w:szCs w:val="44"/>
          <w:lang w:val="en-US" w:eastAsia="zh-CN"/>
        </w:rPr>
        <w:t>表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79"/>
        <w:gridCol w:w="1021"/>
        <w:gridCol w:w="1084"/>
        <w:gridCol w:w="605"/>
        <w:gridCol w:w="502"/>
        <w:gridCol w:w="255"/>
        <w:gridCol w:w="390"/>
        <w:gridCol w:w="782"/>
        <w:gridCol w:w="1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劳务派遣人员经费--业务人员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EDF4FF"/>
              </w:rPr>
              <w:t>420114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EDF4FF"/>
                <w:lang w:val="en-US" w:eastAsia="zh-CN"/>
              </w:rPr>
              <w:t>2505T000000178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蔡甸区人社局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中法城人社服务中心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计振华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13628668182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01-持续性项目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31-本级支出项目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根据《关于职工社会保险上线省系统所需相关经费的请示》区领导、财政局审批意见确立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政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务大厅人员购买服务支出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无变动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53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委托业务费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劳务派遣人员工资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商品和服务支出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</w:p>
        </w:tc>
        <w:tc>
          <w:tcPr>
            <w:tcW w:w="253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购买社会服务2人，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万元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10.41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完成政务大厅人社窗口的就业补贴、农保、医保、失地、监察、劳动仲裁、市长热线回复等等的日常工作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　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社保相关业务受理及时率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群众业务及时受理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效益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社会效益　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社保相关政策咨询答复率=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政策回复数/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咨询总数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受益对象满意度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受益对象对项目实施效果的满意程度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88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11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数量指标　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经费保障人数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年初计划数核定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社保业务办理情况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按时准确完成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工作人员业务办理准确性及及时性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　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社保相关业务受理及时率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群众业务及时受理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聘请劳务人员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效益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社会效益　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社保相关政策咨询答复率=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政策回复数/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咨询总数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政府购买社会服务支出</w:t>
            </w:r>
          </w:p>
        </w:tc>
        <w:tc>
          <w:tcPr>
            <w:tcW w:w="11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受益对象满意度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≧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%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受益对象对项目实施效果的满意程度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zOTg0ZjY4NDIyNDgwMDdmMDNkODA2NDEyNTc2NDEifQ=="/>
  </w:docVars>
  <w:rsids>
    <w:rsidRoot w:val="00000000"/>
    <w:rsid w:val="031A59A9"/>
    <w:rsid w:val="03691170"/>
    <w:rsid w:val="093525C0"/>
    <w:rsid w:val="14575AE1"/>
    <w:rsid w:val="1593009E"/>
    <w:rsid w:val="16F72C63"/>
    <w:rsid w:val="2308011C"/>
    <w:rsid w:val="23D06D16"/>
    <w:rsid w:val="27D75095"/>
    <w:rsid w:val="2D541386"/>
    <w:rsid w:val="30275401"/>
    <w:rsid w:val="31F97D80"/>
    <w:rsid w:val="33FC1F78"/>
    <w:rsid w:val="37E65AFD"/>
    <w:rsid w:val="3C3A120E"/>
    <w:rsid w:val="4E6F6FA8"/>
    <w:rsid w:val="50AC6291"/>
    <w:rsid w:val="516A3A56"/>
    <w:rsid w:val="51F55A16"/>
    <w:rsid w:val="57C03270"/>
    <w:rsid w:val="5CA2297D"/>
    <w:rsid w:val="5DD27772"/>
    <w:rsid w:val="616F7EEF"/>
    <w:rsid w:val="66666A8A"/>
    <w:rsid w:val="66BF255F"/>
    <w:rsid w:val="6EC8176A"/>
    <w:rsid w:val="70E1568B"/>
    <w:rsid w:val="73A750C7"/>
    <w:rsid w:val="791423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831</Words>
  <Characters>932</Characters>
  <Lines>0</Lines>
  <Paragraphs>0</Paragraphs>
  <TotalTime>5</TotalTime>
  <ScaleCrop>false</ScaleCrop>
  <LinksUpToDate>false</LinksUpToDate>
  <CharactersWithSpaces>1020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dcterms:modified xsi:type="dcterms:W3CDTF">2025-01-13T09:23:41Z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