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360" w:after="240" w:line="400" w:lineRule="exact"/>
        <w:jc w:val="center"/>
        <w:rPr>
          <w:rFonts w:hint="eastAsia" w:ascii="黑体" w:eastAsia="黑体"/>
          <w:b w:val="0"/>
          <w:szCs w:val="44"/>
        </w:rPr>
      </w:pPr>
      <w:r>
        <w:rPr>
          <w:rFonts w:hint="eastAsia" w:ascii="黑体" w:eastAsia="黑体"/>
          <w:b w:val="0"/>
          <w:szCs w:val="44"/>
        </w:rPr>
        <w:t>武汉市蔡甸区劳动保障维权服务中心</w:t>
      </w:r>
    </w:p>
    <w:p>
      <w:pPr>
        <w:pStyle w:val="2"/>
        <w:snapToGrid w:val="0"/>
        <w:spacing w:before="360" w:after="240" w:line="400" w:lineRule="exact"/>
        <w:jc w:val="center"/>
        <w:rPr>
          <w:rFonts w:ascii="黑体" w:eastAsia="黑体"/>
          <w:b w:val="0"/>
          <w:szCs w:val="44"/>
        </w:rPr>
      </w:pPr>
      <w:r>
        <w:rPr>
          <w:rFonts w:hint="eastAsia" w:ascii="黑体" w:eastAsia="黑体"/>
          <w:b w:val="0"/>
          <w:szCs w:val="44"/>
        </w:rPr>
        <w:t>2025年项目绩效目标表</w:t>
      </w:r>
    </w:p>
    <w:p>
      <w:pPr>
        <w:jc w:val="right"/>
      </w:pPr>
      <w:bookmarkStart w:id="0" w:name="_GoBack"/>
      <w:bookmarkEnd w:id="0"/>
      <w:r>
        <w:rPr>
          <w:rFonts w:hint="eastAsia" w:ascii="仿宋_GB2312" w:hAnsi="仿宋_GB2312" w:eastAsia="仿宋_GB2312" w:cs="仿宋_GB2312"/>
        </w:rPr>
        <w:t>资金单位：万元</w:t>
      </w:r>
    </w:p>
    <w:tbl>
      <w:tblPr>
        <w:tblStyle w:val="5"/>
        <w:tblW w:w="9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2085"/>
        <w:gridCol w:w="992"/>
        <w:gridCol w:w="992"/>
        <w:gridCol w:w="992"/>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聘用公共服务岗人员经费-业务工作人员 　</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42011425057T000000162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蔡甸区人力资源和社会保障局</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万光明</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0</w:t>
            </w:r>
            <w:r>
              <w:rPr>
                <w:rFonts w:ascii="仿宋_GB2312" w:hAnsi="Arial" w:eastAsia="仿宋_GB2312" w:cs="Arial"/>
                <w:color w:val="000000"/>
                <w:kern w:val="0"/>
                <w:sz w:val="24"/>
                <w:szCs w:val="24"/>
              </w:rPr>
              <w:t>27-84998729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本级支出项目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w:t>
            </w:r>
            <w:r>
              <w:rPr>
                <w:rFonts w:ascii="仿宋_GB2312" w:hAnsi="Arial" w:eastAsia="仿宋_GB2312" w:cs="Arial"/>
                <w:color w:val="000000"/>
                <w:kern w:val="0"/>
                <w:sz w:val="24"/>
                <w:szCs w:val="24"/>
              </w:rPr>
              <w:t>02</w:t>
            </w:r>
            <w:r>
              <w:rPr>
                <w:rFonts w:hint="eastAsia" w:ascii="仿宋_GB2312" w:hAnsi="Arial" w:eastAsia="仿宋_GB2312" w:cs="Arial"/>
                <w:color w:val="000000"/>
                <w:kern w:val="0"/>
                <w:sz w:val="24"/>
                <w:szCs w:val="24"/>
              </w:rPr>
              <w:t>5</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w:t>
            </w:r>
            <w:r>
              <w:rPr>
                <w:rFonts w:ascii="仿宋_GB2312" w:hAnsi="Arial" w:eastAsia="仿宋_GB2312" w:cs="Arial"/>
                <w:color w:val="000000"/>
                <w:kern w:val="0"/>
                <w:sz w:val="24"/>
                <w:szCs w:val="24"/>
              </w:rPr>
              <w:t>02</w:t>
            </w:r>
            <w:r>
              <w:rPr>
                <w:rFonts w:hint="eastAsia" w:ascii="仿宋_GB2312" w:hAnsi="Arial" w:eastAsia="仿宋_GB2312" w:cs="Arial"/>
                <w:color w:val="000000"/>
                <w:kern w:val="0"/>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根据《湖北省人民政府办公厅关于切实加强劳动保障监察工作的通知》（鄂政办发[2006]117号）要求，要充分发挥劳动保障监察的重要作用，加强劳动保障监察机构和队伍的建设。县级以上劳动保障行政部门都必须建立具有独立行政执法主体资格的劳动保障监察机构，并根据劳动保障监察工作需要配备专职劳动保障监察员。劳动保障监察工作所需的办公费、专项检查费、装备使用维护费以及人员经费、业务培训费全额纳入财政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auto"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7342" w:type="dxa"/>
            <w:gridSpan w:val="6"/>
            <w:tcBorders>
              <w:top w:val="single" w:color="000000" w:sz="4" w:space="0"/>
              <w:left w:val="nil"/>
              <w:bottom w:val="single" w:color="auto" w:sz="4" w:space="0"/>
              <w:right w:val="single" w:color="000000"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聘请公共服务岗人员11名。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3232"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77　</w:t>
            </w:r>
          </w:p>
        </w:tc>
        <w:tc>
          <w:tcPr>
            <w:tcW w:w="198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2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77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7342" w:type="dxa"/>
            <w:gridSpan w:val="6"/>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w:t>
            </w:r>
            <w:r>
              <w:rPr>
                <w:rFonts w:ascii="仿宋_GB2312" w:hAnsi="Arial" w:eastAsia="仿宋_GB2312" w:cs="Arial"/>
                <w:color w:val="000000"/>
                <w:kern w:val="0"/>
                <w:sz w:val="24"/>
                <w:szCs w:val="24"/>
              </w:rPr>
              <w:t>023</w:t>
            </w:r>
            <w:r>
              <w:rPr>
                <w:rFonts w:hint="eastAsia" w:ascii="仿宋_GB2312" w:hAnsi="Arial" w:eastAsia="仿宋_GB2312" w:cs="Arial"/>
                <w:color w:val="000000"/>
                <w:kern w:val="0"/>
                <w:sz w:val="24"/>
                <w:szCs w:val="24"/>
              </w:rPr>
              <w:t>年预算70万元。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26" w:type="dxa"/>
            <w:gridSpan w:val="2"/>
            <w:tcBorders>
              <w:top w:val="single" w:color="auto"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77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77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41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41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41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2976"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聘请公共服务岗人员</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劳务费</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77</w:t>
            </w:r>
          </w:p>
        </w:tc>
        <w:tc>
          <w:tcPr>
            <w:tcW w:w="2976"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公共服务岗人员11名,年均7万元/人。</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1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p>
        </w:tc>
        <w:tc>
          <w:tcPr>
            <w:tcW w:w="41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劳动监察办案</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协助完成各类举报、投诉、市民服务热线及转办件和其他工作任务。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公共服务岗</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清理拖欠农民工工资的清欠率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质量指标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各类举报投诉案件及时结案率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效益指标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对发现的用人单位违反劳动监察法律法规查处率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劳动者满意度</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85"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976"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134"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w:t>
            </w:r>
          </w:p>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90" w:lineRule="exact"/>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90" w:lineRule="exact"/>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90" w:lineRule="exact"/>
              <w:jc w:val="left"/>
              <w:rPr>
                <w:rFonts w:ascii="仿宋_GB2312" w:hAnsi="宋体" w:eastAsia="仿宋_GB2312" w:cs="Arial"/>
                <w:color w:val="000000"/>
                <w:kern w:val="0"/>
                <w:sz w:val="24"/>
                <w:szCs w:val="24"/>
              </w:rPr>
            </w:pPr>
          </w:p>
        </w:tc>
        <w:tc>
          <w:tcPr>
            <w:tcW w:w="208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90" w:lineRule="exact"/>
              <w:jc w:val="left"/>
              <w:rPr>
                <w:rFonts w:ascii="仿宋_GB2312" w:hAnsi="宋体" w:eastAsia="仿宋_GB2312" w:cs="Arial"/>
                <w:color w:val="000000"/>
                <w:kern w:val="0"/>
                <w:sz w:val="24"/>
                <w:szCs w:val="24"/>
              </w:rPr>
            </w:pP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w:t>
            </w:r>
          </w:p>
          <w:p>
            <w:pPr>
              <w:widowControl/>
              <w:snapToGrid w:val="0"/>
              <w:spacing w:line="39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年实现</w:t>
            </w:r>
          </w:p>
        </w:tc>
        <w:tc>
          <w:tcPr>
            <w:tcW w:w="1134" w:type="dxa"/>
            <w:vMerge w:val="continue"/>
            <w:tcBorders>
              <w:top w:val="single" w:color="000000" w:sz="4" w:space="0"/>
              <w:left w:val="single" w:color="auto" w:sz="4" w:space="0"/>
              <w:bottom w:val="single" w:color="000000" w:sz="4" w:space="0"/>
              <w:right w:val="single" w:color="000000" w:sz="4" w:space="0"/>
            </w:tcBorders>
            <w:vAlign w:val="center"/>
          </w:tcPr>
          <w:p>
            <w:pPr>
              <w:widowControl/>
              <w:snapToGrid w:val="0"/>
              <w:spacing w:line="390" w:lineRule="exact"/>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清理拖欠农民工工资的清欠率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质量指标</w:t>
            </w:r>
          </w:p>
        </w:tc>
        <w:tc>
          <w:tcPr>
            <w:tcW w:w="2085"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各类举报投诉案件及时结案率</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1134"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效益指标</w:t>
            </w:r>
          </w:p>
        </w:tc>
        <w:tc>
          <w:tcPr>
            <w:tcW w:w="1147"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2085"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对发现的用人单位违反劳动监察法律法规查处率</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34"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tcPr>
          <w:p>
            <w:pPr>
              <w:snapToGrid w:val="0"/>
              <w:spacing w:line="390" w:lineRule="exact"/>
            </w:pPr>
            <w:r>
              <w:rPr>
                <w:rFonts w:hint="eastAsia" w:ascii="仿宋_GB2312" w:hAnsi="宋体" w:eastAsia="仿宋_GB2312" w:cs="Arial"/>
                <w:color w:val="000000"/>
                <w:kern w:val="0"/>
                <w:sz w:val="24"/>
                <w:szCs w:val="24"/>
              </w:rPr>
              <w:t>公共服务岗</w:t>
            </w:r>
          </w:p>
        </w:tc>
        <w:tc>
          <w:tcPr>
            <w:tcW w:w="1146"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1147"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2085"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劳动者满意度</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992"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1134" w:type="dxa"/>
            <w:tcMar>
              <w:top w:w="0" w:type="dxa"/>
              <w:left w:w="57" w:type="dxa"/>
              <w:bottom w:w="0" w:type="dxa"/>
              <w:right w:w="57" w:type="dxa"/>
            </w:tcMar>
            <w:vAlign w:val="center"/>
          </w:tcPr>
          <w:p>
            <w:pPr>
              <w:widowControl/>
              <w:snapToGrid w:val="0"/>
              <w:spacing w:line="39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其他标准</w:t>
            </w:r>
          </w:p>
        </w:tc>
      </w:tr>
    </w:tbl>
    <w:p>
      <w:pPr>
        <w:spacing w:line="100" w:lineRule="exact"/>
      </w:pPr>
    </w:p>
    <w:sectPr>
      <w:pgSz w:w="11906" w:h="16838"/>
      <w:pgMar w:top="1418" w:right="1797" w:bottom="1418"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lmZmEyN2RjNGQ0ZTIzOWExYjIyNmUxZmU0NTViMTkifQ=="/>
  </w:docVars>
  <w:rsids>
    <w:rsidRoot w:val="00EB70F9"/>
    <w:rsid w:val="00020BED"/>
    <w:rsid w:val="0006169A"/>
    <w:rsid w:val="00101B70"/>
    <w:rsid w:val="001165F3"/>
    <w:rsid w:val="002375D1"/>
    <w:rsid w:val="002873AF"/>
    <w:rsid w:val="002F688A"/>
    <w:rsid w:val="00364134"/>
    <w:rsid w:val="003F0531"/>
    <w:rsid w:val="004876B9"/>
    <w:rsid w:val="00573636"/>
    <w:rsid w:val="005A225D"/>
    <w:rsid w:val="005B7F40"/>
    <w:rsid w:val="0066705E"/>
    <w:rsid w:val="006B6DBB"/>
    <w:rsid w:val="00740990"/>
    <w:rsid w:val="00810539"/>
    <w:rsid w:val="008F0E0D"/>
    <w:rsid w:val="00916502"/>
    <w:rsid w:val="009D4480"/>
    <w:rsid w:val="009D74B0"/>
    <w:rsid w:val="00AD61E4"/>
    <w:rsid w:val="00C03EBA"/>
    <w:rsid w:val="00C50283"/>
    <w:rsid w:val="00C70C8D"/>
    <w:rsid w:val="00CC2687"/>
    <w:rsid w:val="00EB70F9"/>
    <w:rsid w:val="00F422C0"/>
    <w:rsid w:val="00F57A03"/>
    <w:rsid w:val="00F8752D"/>
    <w:rsid w:val="00FF4402"/>
    <w:rsid w:val="0A014251"/>
    <w:rsid w:val="0A7419C3"/>
    <w:rsid w:val="191E7D13"/>
    <w:rsid w:val="1EB8300B"/>
    <w:rsid w:val="2AB52B7D"/>
    <w:rsid w:val="328943AD"/>
    <w:rsid w:val="3AEA0998"/>
    <w:rsid w:val="3C6C2B37"/>
    <w:rsid w:val="3CD603E5"/>
    <w:rsid w:val="40D976FC"/>
    <w:rsid w:val="44CF47AA"/>
    <w:rsid w:val="493B3EC7"/>
    <w:rsid w:val="4C8E2BAD"/>
    <w:rsid w:val="583B5E9D"/>
    <w:rsid w:val="642B2410"/>
    <w:rsid w:val="652A557F"/>
    <w:rsid w:val="66BF255F"/>
    <w:rsid w:val="671C000A"/>
    <w:rsid w:val="6E3D2932"/>
    <w:rsid w:val="72664612"/>
    <w:rsid w:val="7A0951F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0"/>
    <w:rPr>
      <w:rFonts w:ascii="Times New Roman" w:hAnsi="Times New Roman" w:eastAsia="宋体" w:cs="Times New Roman"/>
      <w:kern w:val="2"/>
      <w:sz w:val="18"/>
      <w:szCs w:val="18"/>
    </w:rPr>
  </w:style>
  <w:style w:type="character" w:customStyle="1" w:styleId="8">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2</Pages>
  <Words>188</Words>
  <Characters>1077</Characters>
  <Lines>8</Lines>
  <Paragraphs>2</Paragraphs>
  <TotalTime>17</TotalTime>
  <ScaleCrop>false</ScaleCrop>
  <LinksUpToDate>false</LinksUpToDate>
  <CharactersWithSpaces>1263</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2023-08-28T08:04:00Z</dcterms:created>
  <dc:creator>lenovo</dc:creator>
  <cp:lastModifiedBy>Mi Manchi</cp:lastModifiedBy>
  <cp:lastPrinted>2023-09-20T03:06:00Z</cp:lastPrinted>
  <dcterms:modified xsi:type="dcterms:W3CDTF">2025-01-13T09:23:55Z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E5560CC407D14C52BA1451F74F03AA0C_13</vt:lpwstr>
  </property>
</Properties>
</file>