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color w:val="000000"/>
          <w:kern w:val="44"/>
          <w:sz w:val="36"/>
          <w:szCs w:val="36"/>
        </w:rPr>
      </w:pPr>
    </w:p>
    <w:p>
      <w:pPr>
        <w:jc w:val="center"/>
        <w:rPr>
          <w:rFonts w:hint="eastAsia" w:ascii="黑体" w:eastAsia="黑体"/>
          <w:color w:val="000000"/>
          <w:kern w:val="44"/>
          <w:sz w:val="36"/>
          <w:szCs w:val="36"/>
        </w:rPr>
      </w:pPr>
    </w:p>
    <w:p>
      <w:pPr>
        <w:jc w:val="center"/>
        <w:rPr>
          <w:rFonts w:ascii="黑体" w:eastAsia="黑体"/>
          <w:color w:val="000000"/>
          <w:kern w:val="44"/>
          <w:sz w:val="36"/>
          <w:szCs w:val="36"/>
        </w:rPr>
      </w:pPr>
      <w:r>
        <w:rPr>
          <w:rFonts w:hint="eastAsia" w:ascii="黑体" w:eastAsia="黑体"/>
          <w:color w:val="000000"/>
          <w:kern w:val="44"/>
          <w:sz w:val="36"/>
          <w:szCs w:val="36"/>
        </w:rPr>
        <w:t xml:space="preserve">蔡甸区人力资源和社会保障局 </w:t>
      </w:r>
    </w:p>
    <w:p>
      <w:pPr>
        <w:jc w:val="center"/>
        <w:rPr>
          <w:rFonts w:ascii="黑体" w:eastAsia="黑体"/>
          <w:kern w:val="44"/>
          <w:sz w:val="36"/>
          <w:szCs w:val="36"/>
        </w:rPr>
      </w:pPr>
      <w:r>
        <w:rPr>
          <w:rFonts w:hint="eastAsia" w:ascii="黑体" w:eastAsia="黑体"/>
          <w:kern w:val="44"/>
          <w:sz w:val="36"/>
          <w:szCs w:val="36"/>
        </w:rPr>
        <w:t>2025年项目绩效目标</w:t>
      </w:r>
      <w:bookmarkStart w:id="0" w:name="_GoBack"/>
      <w:bookmarkEnd w:id="0"/>
      <w:r>
        <w:rPr>
          <w:rFonts w:hint="eastAsia" w:ascii="黑体" w:eastAsia="黑体"/>
          <w:kern w:val="44"/>
          <w:sz w:val="36"/>
          <w:szCs w:val="36"/>
        </w:rPr>
        <w:t>表</w:t>
      </w:r>
    </w:p>
    <w:p>
      <w:pPr>
        <w:ind w:firstLine="7140" w:firstLineChars="3400"/>
        <w:rPr>
          <w:rFonts w:ascii="黑体" w:eastAsia="黑体"/>
          <w:sz w:val="36"/>
          <w:szCs w:val="36"/>
        </w:rPr>
      </w:pPr>
      <w:r>
        <w:rPr>
          <w:rFonts w:hint="eastAsia" w:ascii="宋体" w:hAnsi="宋体" w:cs="仿宋_GB2312"/>
        </w:rPr>
        <w:t>单位：万元</w:t>
      </w:r>
    </w:p>
    <w:tbl>
      <w:tblPr>
        <w:tblStyle w:val="6"/>
        <w:tblW w:w="9078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4"/>
        <w:gridCol w:w="833"/>
        <w:gridCol w:w="345"/>
        <w:gridCol w:w="990"/>
        <w:gridCol w:w="1109"/>
        <w:gridCol w:w="901"/>
        <w:gridCol w:w="787"/>
        <w:gridCol w:w="1200"/>
        <w:gridCol w:w="1758"/>
        <w:gridCol w:w="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人社管理服务经费</w:t>
            </w:r>
          </w:p>
        </w:tc>
        <w:tc>
          <w:tcPr>
            <w:tcW w:w="16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420114220570310000102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人社局</w:t>
            </w:r>
          </w:p>
        </w:tc>
        <w:tc>
          <w:tcPr>
            <w:tcW w:w="16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人社局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易洪兰</w:t>
            </w:r>
          </w:p>
        </w:tc>
        <w:tc>
          <w:tcPr>
            <w:tcW w:w="16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4998710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74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01-持续性项目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74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31-本级支出项目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9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6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674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74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武人社发【2011】72号；鄂人社函【2011】263号；武财社【2005】277号；蔡人社【2018】11号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68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74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物业费20万元，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职工体检支出、扶贫农产品采购、食堂配送支出、资料印刷及制作、法律咨询等25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万元，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劳务派遣人员、兼职仲裁员及零星大楼维修维护等支出15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万元，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新生儿一事联办邮寄费、劳动关系及仲裁文书邮寄5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万元，驻村第一书记补贴及帮扶资金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、报刊杂志等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15万元。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61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80</w:t>
            </w:r>
          </w:p>
        </w:tc>
        <w:tc>
          <w:tcPr>
            <w:tcW w:w="16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1020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74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3年1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68.6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万元，2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02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4年208.6万元，2025年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50" w:hRule="atLeast"/>
        </w:trPr>
        <w:tc>
          <w:tcPr>
            <w:tcW w:w="2292" w:type="dxa"/>
            <w:gridSpan w:val="3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378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39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8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8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8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其中：申请当年预算拨款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8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8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8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50" w:hRule="atLeast"/>
        </w:trPr>
        <w:tc>
          <w:tcPr>
            <w:tcW w:w="2292" w:type="dxa"/>
            <w:gridSpan w:val="3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78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其中：使用上年度财政拨款结转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50" w:hRule="atLeast"/>
        </w:trPr>
        <w:tc>
          <w:tcPr>
            <w:tcW w:w="903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66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16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5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物业费</w:t>
            </w: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委托业务费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20</w:t>
            </w:r>
          </w:p>
        </w:tc>
        <w:tc>
          <w:tcPr>
            <w:tcW w:w="16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保安保洁支出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招标确定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5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劳务费</w:t>
            </w: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委托业务费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15</w:t>
            </w:r>
          </w:p>
        </w:tc>
        <w:tc>
          <w:tcPr>
            <w:tcW w:w="16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劳务派遣人员、兼职仲裁员支出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劳务派遣人员5万元/人，兼职仲裁员500元/件，按照实际案件数量结算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5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委托业务费</w:t>
            </w: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委托业务费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6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食堂配送支出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5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委托业务费</w:t>
            </w: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委托业务费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6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扶贫农产品、职工体检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职工体检按照200元/人/年标准，24年体检费用10.4万元，农产品采购2万元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5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咨询费</w:t>
            </w: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委托业务费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5</w:t>
            </w:r>
          </w:p>
        </w:tc>
        <w:tc>
          <w:tcPr>
            <w:tcW w:w="16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法律咨询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与往年签约金额一致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5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邮电费</w:t>
            </w: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办公经费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5</w:t>
            </w:r>
          </w:p>
        </w:tc>
        <w:tc>
          <w:tcPr>
            <w:tcW w:w="16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劳动关系及仲裁文书邮寄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仲裁及劳动关系邮寄费月4200元/月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5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其他商品和服务支出</w:t>
            </w: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其他商品和服务支出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15</w:t>
            </w:r>
          </w:p>
        </w:tc>
        <w:tc>
          <w:tcPr>
            <w:tcW w:w="168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驻村第一书记补贴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及帮扶资金、报刊、财务软件运维支出、大楼日常维修维护等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  <w:lang w:val="en-US" w:eastAsia="zh-CN"/>
              </w:rPr>
              <w:t>驻村第一书记补贴约2500元/月，帮扶资金4万元，共计7万元，报刊5万元，财务软件0.2万元，点头道维护0.8万元，大楼日常维修维护约7万元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35" w:hRule="atLeast"/>
        </w:trPr>
        <w:tc>
          <w:tcPr>
            <w:tcW w:w="903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64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物业费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4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委托业务费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64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35" w:hRule="atLeast"/>
        </w:trPr>
        <w:tc>
          <w:tcPr>
            <w:tcW w:w="903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长期</w:t>
            </w: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绩效目标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74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35" w:hRule="atLeast"/>
        </w:trPr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人社管理服务经费</w:t>
            </w:r>
          </w:p>
        </w:tc>
        <w:tc>
          <w:tcPr>
            <w:tcW w:w="674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做好仲裁及工伤立案调查工作，为人社工作开展做好保障工作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390" w:hRule="atLeast"/>
        </w:trPr>
        <w:tc>
          <w:tcPr>
            <w:tcW w:w="903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</w:t>
            </w: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指标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39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39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人社管理服务经费</w:t>
            </w: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0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调解仲裁案件调查处理率</w:t>
            </w: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39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人社管理服务经费</w:t>
            </w: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0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工伤认定申请受理率</w:t>
            </w: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39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人社管理服务经费</w:t>
            </w: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0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投诉率</w:t>
            </w: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39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人社管理服务经费</w:t>
            </w: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20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法定时限内结案率</w:t>
            </w: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≥90%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39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人社管理服务经费</w:t>
            </w: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效益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20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劳动关系和谐稳定</w:t>
            </w: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有所促进</w:t>
            </w:r>
          </w:p>
        </w:tc>
        <w:tc>
          <w:tcPr>
            <w:tcW w:w="29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50" w:hRule="atLeast"/>
        </w:trPr>
        <w:tc>
          <w:tcPr>
            <w:tcW w:w="903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年度</w:t>
            </w: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绩效目标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50" w:hRule="atLeast"/>
        </w:trPr>
        <w:tc>
          <w:tcPr>
            <w:tcW w:w="19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70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50" w:hRule="atLeast"/>
        </w:trPr>
        <w:tc>
          <w:tcPr>
            <w:tcW w:w="19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人社管理服务经费</w:t>
            </w:r>
          </w:p>
        </w:tc>
        <w:tc>
          <w:tcPr>
            <w:tcW w:w="70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做好仲裁及工伤立案调查工作，为人社工作开展做好保障工作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50" w:hRule="atLeast"/>
        </w:trPr>
        <w:tc>
          <w:tcPr>
            <w:tcW w:w="903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年度绩效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指标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50" w:hRule="atLeast"/>
        </w:trPr>
        <w:tc>
          <w:tcPr>
            <w:tcW w:w="11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9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1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8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7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50" w:hRule="atLeast"/>
        </w:trPr>
        <w:tc>
          <w:tcPr>
            <w:tcW w:w="11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758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50" w:hRule="atLeast"/>
        </w:trPr>
        <w:tc>
          <w:tcPr>
            <w:tcW w:w="11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人社管理服务经费</w:t>
            </w:r>
          </w:p>
        </w:tc>
        <w:tc>
          <w:tcPr>
            <w:tcW w:w="117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10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调解仲裁案件调查处理率</w:t>
            </w:r>
          </w:p>
        </w:tc>
        <w:tc>
          <w:tcPr>
            <w:tcW w:w="9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7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5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人社管理服务经费</w:t>
            </w: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工伤认定申请受理率</w:t>
            </w:r>
          </w:p>
        </w:tc>
        <w:tc>
          <w:tcPr>
            <w:tcW w:w="90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7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5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人社管理服务经费</w:t>
            </w: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投诉率</w:t>
            </w:r>
          </w:p>
        </w:tc>
        <w:tc>
          <w:tcPr>
            <w:tcW w:w="901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787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≤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%</w:t>
            </w:r>
          </w:p>
        </w:tc>
        <w:tc>
          <w:tcPr>
            <w:tcW w:w="17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" w:type="dxa"/>
          <w:trHeight w:val="450" w:hRule="atLeast"/>
        </w:trPr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both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人社管理服务经费</w:t>
            </w:r>
          </w:p>
        </w:tc>
        <w:tc>
          <w:tcPr>
            <w:tcW w:w="117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9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11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法定时限内结案率</w:t>
            </w:r>
          </w:p>
        </w:tc>
        <w:tc>
          <w:tcPr>
            <w:tcW w:w="901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≧90%</w:t>
            </w:r>
          </w:p>
        </w:tc>
        <w:tc>
          <w:tcPr>
            <w:tcW w:w="787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≧90%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≧90%</w:t>
            </w:r>
          </w:p>
        </w:tc>
        <w:tc>
          <w:tcPr>
            <w:tcW w:w="175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7" w:hRule="atLeast"/>
        </w:trPr>
        <w:tc>
          <w:tcPr>
            <w:tcW w:w="1114" w:type="dxa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both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人社管理服务经费</w:t>
            </w:r>
          </w:p>
        </w:tc>
        <w:tc>
          <w:tcPr>
            <w:tcW w:w="1178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效益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1109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劳动关系和谐稳定</w:t>
            </w:r>
          </w:p>
        </w:tc>
        <w:tc>
          <w:tcPr>
            <w:tcW w:w="901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有所促进</w:t>
            </w:r>
          </w:p>
        </w:tc>
        <w:tc>
          <w:tcPr>
            <w:tcW w:w="787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有所促进</w:t>
            </w:r>
          </w:p>
        </w:tc>
        <w:tc>
          <w:tcPr>
            <w:tcW w:w="120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有所促进</w:t>
            </w:r>
          </w:p>
        </w:tc>
        <w:tc>
          <w:tcPr>
            <w:tcW w:w="1799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其他标准</w:t>
            </w:r>
          </w:p>
        </w:tc>
      </w:tr>
    </w:tbl>
    <w:p/>
    <w:sectPr>
      <w:pgSz w:w="11906" w:h="16838"/>
      <w:pgMar w:top="283" w:right="567" w:bottom="283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YzFhZGY0ZTViYWQyN2I0ZGJhNDk0OThkMjNkNmQ2MDYifQ=="/>
  </w:docVars>
  <w:rsids>
    <w:rsidRoot w:val="00E73481"/>
    <w:rsid w:val="0001366B"/>
    <w:rsid w:val="0011265D"/>
    <w:rsid w:val="001A7FAB"/>
    <w:rsid w:val="002B0DB8"/>
    <w:rsid w:val="002F1FBC"/>
    <w:rsid w:val="003406AC"/>
    <w:rsid w:val="00403399"/>
    <w:rsid w:val="00486AF8"/>
    <w:rsid w:val="004F3CAF"/>
    <w:rsid w:val="00695947"/>
    <w:rsid w:val="00697B3F"/>
    <w:rsid w:val="00767840"/>
    <w:rsid w:val="00786CE5"/>
    <w:rsid w:val="008966CD"/>
    <w:rsid w:val="00A67C7B"/>
    <w:rsid w:val="00B54D60"/>
    <w:rsid w:val="00E73481"/>
    <w:rsid w:val="00F34750"/>
    <w:rsid w:val="04A94F17"/>
    <w:rsid w:val="0928257C"/>
    <w:rsid w:val="092F4D26"/>
    <w:rsid w:val="0C835833"/>
    <w:rsid w:val="0DEB2350"/>
    <w:rsid w:val="111E5953"/>
    <w:rsid w:val="11A02710"/>
    <w:rsid w:val="12994F92"/>
    <w:rsid w:val="13E70E10"/>
    <w:rsid w:val="1482764D"/>
    <w:rsid w:val="188C50C9"/>
    <w:rsid w:val="1C613CC0"/>
    <w:rsid w:val="28130333"/>
    <w:rsid w:val="299C3F86"/>
    <w:rsid w:val="2B7408CF"/>
    <w:rsid w:val="2FAE3A09"/>
    <w:rsid w:val="30C02643"/>
    <w:rsid w:val="39C44B35"/>
    <w:rsid w:val="3B514198"/>
    <w:rsid w:val="3DC70D32"/>
    <w:rsid w:val="409938BD"/>
    <w:rsid w:val="43433BFA"/>
    <w:rsid w:val="4C9205DC"/>
    <w:rsid w:val="5B8832E3"/>
    <w:rsid w:val="5CB06036"/>
    <w:rsid w:val="5F7D550E"/>
    <w:rsid w:val="63AF52F2"/>
    <w:rsid w:val="66BF255F"/>
    <w:rsid w:val="69911961"/>
    <w:rsid w:val="78047A58"/>
    <w:rsid w:val="7D842A4F"/>
    <w:rsid w:val="7EAA1958"/>
    <w:rsid w:val="7EF7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1088</Words>
  <Characters>1214</Characters>
  <Lines>11</Lines>
  <Paragraphs>3</Paragraphs>
  <TotalTime>29</TotalTime>
  <ScaleCrop>false</ScaleCrop>
  <LinksUpToDate>false</LinksUpToDate>
  <CharactersWithSpaces>1215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Mi Manchi</cp:lastModifiedBy>
  <cp:lastPrinted>2023-09-18T15:03:00Z</cp:lastPrinted>
  <dcterms:modified xsi:type="dcterms:W3CDTF">2025-01-13T09:22:11Z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A47C5D84466944459C64BDB1DA87701B</vt:lpwstr>
  </property>
</Properties>
</file>