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color w:val="000000"/>
          <w:kern w:val="44"/>
          <w:sz w:val="36"/>
          <w:szCs w:val="36"/>
        </w:rPr>
      </w:pPr>
    </w:p>
    <w:p>
      <w:pPr>
        <w:jc w:val="center"/>
        <w:rPr>
          <w:rFonts w:ascii="黑体" w:eastAsia="黑体"/>
          <w:color w:val="000000"/>
          <w:kern w:val="44"/>
          <w:sz w:val="36"/>
          <w:szCs w:val="36"/>
        </w:rPr>
      </w:pPr>
      <w:r>
        <w:rPr>
          <w:rFonts w:hint="eastAsia" w:ascii="黑体" w:eastAsia="黑体"/>
          <w:color w:val="000000"/>
          <w:kern w:val="44"/>
          <w:sz w:val="36"/>
          <w:szCs w:val="36"/>
        </w:rPr>
        <w:t xml:space="preserve">蔡甸区人力资源和社会保障局 </w:t>
      </w:r>
    </w:p>
    <w:p>
      <w:pPr>
        <w:jc w:val="center"/>
        <w:rPr>
          <w:rFonts w:ascii="黑体" w:eastAsia="黑体"/>
          <w:kern w:val="44"/>
          <w:sz w:val="36"/>
          <w:szCs w:val="36"/>
        </w:rPr>
      </w:pPr>
      <w:r>
        <w:rPr>
          <w:rFonts w:hint="eastAsia" w:ascii="黑体" w:eastAsia="黑体"/>
          <w:kern w:val="44"/>
          <w:sz w:val="36"/>
          <w:szCs w:val="36"/>
        </w:rPr>
        <w:t>2025年项目绩效目标</w:t>
      </w:r>
      <w:bookmarkStart w:id="0" w:name="_GoBack"/>
      <w:bookmarkEnd w:id="0"/>
      <w:r>
        <w:rPr>
          <w:rFonts w:hint="eastAsia" w:ascii="黑体" w:eastAsia="黑体"/>
          <w:kern w:val="44"/>
          <w:sz w:val="36"/>
          <w:szCs w:val="36"/>
        </w:rPr>
        <w:t>表</w:t>
      </w:r>
    </w:p>
    <w:p>
      <w:pPr>
        <w:ind w:firstLine="7350" w:firstLineChars="3500"/>
        <w:rPr>
          <w:rFonts w:ascii="黑体" w:eastAsia="黑体"/>
          <w:sz w:val="36"/>
          <w:szCs w:val="36"/>
        </w:rPr>
      </w:pPr>
      <w:r>
        <w:rPr>
          <w:rFonts w:hint="eastAsia" w:ascii="宋体" w:hAnsi="宋体" w:cs="仿宋_GB2312"/>
        </w:rPr>
        <w:t>单位：万元</w:t>
      </w:r>
    </w:p>
    <w:tbl>
      <w:tblPr>
        <w:tblStyle w:val="5"/>
        <w:tblW w:w="88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2"/>
        <w:gridCol w:w="1181"/>
        <w:gridCol w:w="1106"/>
        <w:gridCol w:w="1231"/>
        <w:gridCol w:w="867"/>
        <w:gridCol w:w="925"/>
        <w:gridCol w:w="900"/>
        <w:gridCol w:w="1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人才引育和人才评价　</w:t>
            </w:r>
          </w:p>
        </w:tc>
        <w:tc>
          <w:tcPr>
            <w:tcW w:w="17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420114220570310000104</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人社局　</w:t>
            </w:r>
          </w:p>
        </w:tc>
        <w:tc>
          <w:tcPr>
            <w:tcW w:w="17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人社局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易洪兰　</w:t>
            </w:r>
          </w:p>
        </w:tc>
        <w:tc>
          <w:tcPr>
            <w:tcW w:w="17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8</w:t>
            </w:r>
            <w:r>
              <w:rPr>
                <w:rFonts w:ascii="仿宋_GB2312" w:hAnsi="Arial" w:eastAsia="仿宋_GB2312" w:cs="Arial"/>
                <w:color w:val="000000"/>
                <w:kern w:val="0"/>
                <w:sz w:val="24"/>
                <w:szCs w:val="24"/>
              </w:rPr>
              <w:t>4998710</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01-持续性项目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31-本级支出项目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2025</w:t>
            </w:r>
          </w:p>
        </w:tc>
        <w:tc>
          <w:tcPr>
            <w:tcW w:w="17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事业单位公开招聘人员暂行规定（人事部第6号令）；</w:t>
            </w:r>
            <w:r>
              <w:rPr>
                <w:rFonts w:ascii="仿宋_GB2312" w:hAnsi="Arial" w:eastAsia="仿宋_GB2312" w:cs="Arial"/>
                <w:color w:val="000000"/>
                <w:kern w:val="0"/>
                <w:sz w:val="24"/>
                <w:szCs w:val="24"/>
              </w:rPr>
              <w:br w:type="textWrapping"/>
            </w:r>
            <w:r>
              <w:rPr>
                <w:rFonts w:hint="eastAsia" w:ascii="仿宋_GB2312" w:hAnsi="Arial" w:eastAsia="仿宋_GB2312" w:cs="Arial"/>
                <w:color w:val="000000"/>
                <w:kern w:val="0"/>
                <w:sz w:val="24"/>
                <w:szCs w:val="24"/>
              </w:rPr>
              <w:t>关于印发武汉市事业单位公开招聘工作人员实施办法（修订）的通知（武人社发〔2021〕10号）；</w:t>
            </w:r>
          </w:p>
          <w:p>
            <w:pP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关于印发武汉市事业单位专项招聘工作人员实施办法（试行）的通知（武人社发〔2021〕11号）；</w:t>
            </w:r>
          </w:p>
          <w:p>
            <w:pP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事业单位工作人员培训规定（人社部规〔2019〕4号）；</w:t>
            </w:r>
          </w:p>
          <w:p>
            <w:pP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关于印发《武汉市职称评审委员会工作规程( 试行 )》的通知（武人社发〔2021〕5号）；</w:t>
            </w:r>
          </w:p>
          <w:p>
            <w:pP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关于组织开展2023年“院士专家企业行”工作的通知（武人社函〔2023〕274号）；</w:t>
            </w:r>
          </w:p>
          <w:p>
            <w:pP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市人社局关于开展2023年度省有突出贡献中青年专家和享受省政府专项津贴专家推荐选拔工作的通知（武人社函〔2023〕33号）；</w:t>
            </w:r>
          </w:p>
          <w:p>
            <w:pP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市人社局关于开展2023年度享受政府特殊津贴人员推荐选拔工作的通知（武人社函〔2023〕32号）。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8"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ind w:firstLine="480" w:firstLineChars="20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一是用于组织开展</w:t>
            </w:r>
            <w:r>
              <w:rPr>
                <w:rFonts w:ascii="仿宋_GB2312" w:hAnsi="Arial" w:eastAsia="仿宋_GB2312" w:cs="Arial"/>
                <w:color w:val="000000"/>
                <w:kern w:val="0"/>
                <w:sz w:val="24"/>
                <w:szCs w:val="24"/>
              </w:rPr>
              <w:t>全区事业</w:t>
            </w:r>
            <w:r>
              <w:rPr>
                <w:rFonts w:hint="eastAsia" w:ascii="仿宋_GB2312" w:hAnsi="Arial" w:eastAsia="仿宋_GB2312" w:cs="Arial"/>
                <w:color w:val="000000"/>
                <w:kern w:val="0"/>
                <w:sz w:val="24"/>
                <w:szCs w:val="24"/>
              </w:rPr>
              <w:t>单位集中（专项）公开招聘、编外人员零星招聘和院士专家牵线搭桥等人才引进工作。二是用于组织开展事业单位新进人员岗前培训、人事干部业务知识培训、专业技术职务任职资格政策培训等人才培养工作。三是用于实地考察、选拔推荐各类优秀</w:t>
            </w:r>
            <w:r>
              <w:rPr>
                <w:rFonts w:ascii="仿宋_GB2312" w:hAnsi="Arial" w:eastAsia="仿宋_GB2312" w:cs="Arial"/>
                <w:color w:val="000000"/>
                <w:kern w:val="0"/>
                <w:sz w:val="24"/>
                <w:szCs w:val="24"/>
              </w:rPr>
              <w:t>人才</w:t>
            </w:r>
            <w:r>
              <w:rPr>
                <w:rFonts w:hint="eastAsia" w:ascii="仿宋_GB2312" w:hAnsi="Arial" w:eastAsia="仿宋_GB2312" w:cs="Arial"/>
                <w:color w:val="000000"/>
                <w:kern w:val="0"/>
                <w:sz w:val="24"/>
                <w:szCs w:val="24"/>
              </w:rPr>
              <w:t>、组织开展初级职称评审（认定）、中高级职称申报等人才评价</w:t>
            </w:r>
            <w:r>
              <w:rPr>
                <w:rFonts w:ascii="仿宋_GB2312" w:hAnsi="Arial" w:eastAsia="仿宋_GB2312" w:cs="Arial"/>
                <w:color w:val="000000"/>
                <w:kern w:val="0"/>
                <w:sz w:val="24"/>
                <w:szCs w:val="24"/>
              </w:rPr>
              <w:t>工作</w:t>
            </w:r>
            <w:r>
              <w:rPr>
                <w:rFonts w:hint="eastAsia" w:ascii="仿宋_GB2312" w:hAnsi="Arial" w:eastAsia="仿宋_GB2312" w:cs="Arial"/>
                <w:color w:val="000000"/>
                <w:kern w:val="0"/>
                <w:sz w:val="24"/>
                <w:szCs w:val="24"/>
              </w:rPr>
              <w:t>。四是做好区委区政府交办的其他重点人才人事工作。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40</w:t>
            </w:r>
          </w:p>
        </w:tc>
        <w:tc>
          <w:tcPr>
            <w:tcW w:w="179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w:t>
            </w:r>
            <w:r>
              <w:rPr>
                <w:rFonts w:ascii="仿宋_GB2312" w:hAnsi="Arial" w:eastAsia="仿宋_GB2312" w:cs="Arial"/>
                <w:color w:val="000000"/>
                <w:kern w:val="0"/>
                <w:sz w:val="24"/>
                <w:szCs w:val="24"/>
              </w:rPr>
              <w:t>02</w:t>
            </w:r>
            <w:r>
              <w:rPr>
                <w:rFonts w:hint="eastAsia" w:ascii="仿宋_GB2312" w:hAnsi="Arial" w:eastAsia="仿宋_GB2312" w:cs="Arial"/>
                <w:color w:val="000000"/>
                <w:kern w:val="0"/>
                <w:sz w:val="24"/>
                <w:szCs w:val="24"/>
              </w:rPr>
              <w:t>3年事业项目45万元，人才项目15万元； 2</w:t>
            </w:r>
            <w:r>
              <w:rPr>
                <w:rFonts w:ascii="仿宋_GB2312" w:hAnsi="Arial" w:eastAsia="仿宋_GB2312" w:cs="Arial"/>
                <w:color w:val="000000"/>
                <w:kern w:val="0"/>
                <w:sz w:val="24"/>
                <w:szCs w:val="24"/>
              </w:rPr>
              <w:t>02</w:t>
            </w:r>
            <w:r>
              <w:rPr>
                <w:rFonts w:hint="eastAsia" w:ascii="仿宋_GB2312" w:hAnsi="Arial" w:eastAsia="仿宋_GB2312" w:cs="Arial"/>
                <w:color w:val="000000"/>
                <w:kern w:val="0"/>
                <w:sz w:val="24"/>
                <w:szCs w:val="24"/>
              </w:rPr>
              <w:t>4年将两个项目合并为“人才引育和人才评价”一个项目，合计45万元；2025年预算数40万元。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3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Arial" w:eastAsia="仿宋_GB2312" w:cs="Arial"/>
                <w:color w:val="000000"/>
                <w:kern w:val="0"/>
                <w:sz w:val="24"/>
                <w:szCs w:val="24"/>
              </w:rPr>
            </w:pPr>
          </w:p>
        </w:tc>
        <w:tc>
          <w:tcPr>
            <w:tcW w:w="4129"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115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（万元）</w:t>
            </w:r>
          </w:p>
        </w:tc>
        <w:tc>
          <w:tcPr>
            <w:tcW w:w="269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委托业务费</w:t>
            </w: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委托业务费</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25</w:t>
            </w:r>
          </w:p>
        </w:tc>
        <w:tc>
          <w:tcPr>
            <w:tcW w:w="269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题本命题费、流程外包服务费等</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2023年33.87万元，2024年12.83万元，由于本年专项招聘由市局统一安排12月底面试故暂未结算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劳务费</w:t>
            </w: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委托业务费</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10</w:t>
            </w:r>
          </w:p>
        </w:tc>
        <w:tc>
          <w:tcPr>
            <w:tcW w:w="269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公开招聘工作人员劳务费、面试考官劳务费、培训授课专家劳务费、评审（认定）专家劳务费、院士专家劳务费等</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考官考务费1000元/人/天，工作人员500元/人/天，根据当年面试考生人数确定考官数量及工作人员数量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其他商品和服务支出</w:t>
            </w: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其他商品和服务支出</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5</w:t>
            </w:r>
          </w:p>
        </w:tc>
        <w:tc>
          <w:tcPr>
            <w:tcW w:w="2692"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组织人员培训费、政策宣讲费、考察租车费、资料印刷费等</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2023年新进事业人员培训费5.56万元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174"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rPr>
                <w:rFonts w:ascii="仿宋_GB2312" w:eastAsia="仿宋_GB2312" w:cs="Arial"/>
                <w:color w:val="000000"/>
                <w:kern w:val="0"/>
                <w:sz w:val="24"/>
                <w:szCs w:val="24"/>
              </w:rPr>
            </w:pP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rPr>
                <w:rFonts w:ascii="仿宋_GB2312" w:eastAsia="仿宋_GB2312" w:cs="Arial"/>
                <w:color w:val="000000"/>
                <w:kern w:val="0"/>
                <w:sz w:val="24"/>
                <w:szCs w:val="24"/>
              </w:rPr>
            </w:pPr>
          </w:p>
        </w:tc>
        <w:tc>
          <w:tcPr>
            <w:tcW w:w="4174"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rPr>
                <w:rFonts w:ascii="仿宋_GB2312"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rPr>
                <w:rFonts w:ascii="仿宋_GB2312" w:eastAsia="仿宋_GB2312" w:cs="Arial"/>
                <w:color w:val="000000"/>
                <w:kern w:val="0"/>
                <w:sz w:val="24"/>
                <w:szCs w:val="24"/>
              </w:rPr>
            </w:pPr>
          </w:p>
        </w:tc>
        <w:tc>
          <w:tcPr>
            <w:tcW w:w="233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rPr>
                <w:rFonts w:ascii="仿宋_GB2312" w:eastAsia="仿宋_GB2312" w:cs="Arial"/>
                <w:color w:val="000000"/>
                <w:kern w:val="0"/>
                <w:sz w:val="24"/>
                <w:szCs w:val="24"/>
              </w:rPr>
            </w:pPr>
          </w:p>
        </w:tc>
        <w:tc>
          <w:tcPr>
            <w:tcW w:w="4174"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rPr>
                <w:rFonts w:ascii="仿宋_GB2312"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lang w:val="en-US" w:eastAsia="zh-CN"/>
              </w:rPr>
              <w:t>长期</w:t>
            </w:r>
            <w:r>
              <w:rPr>
                <w:rFonts w:hint="eastAsia" w:ascii="仿宋_GB2312" w:hAnsi="宋体" w:eastAsia="仿宋_GB2312" w:cs="Arial"/>
                <w:b/>
                <w:bCs/>
                <w:color w:val="000000"/>
                <w:kern w:val="0"/>
                <w:sz w:val="24"/>
                <w:szCs w:val="24"/>
              </w:rPr>
              <w:t>绩效目标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人才引育和人才评价　</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ind w:firstLine="480" w:firstLineChars="20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组织开展</w:t>
            </w:r>
            <w:r>
              <w:rPr>
                <w:rFonts w:ascii="仿宋_GB2312" w:hAnsi="Arial" w:eastAsia="仿宋_GB2312" w:cs="Arial"/>
                <w:color w:val="000000"/>
                <w:kern w:val="0"/>
                <w:sz w:val="24"/>
                <w:szCs w:val="24"/>
              </w:rPr>
              <w:t>全区事业</w:t>
            </w:r>
            <w:r>
              <w:rPr>
                <w:rFonts w:hint="eastAsia" w:ascii="仿宋_GB2312" w:hAnsi="Arial" w:eastAsia="仿宋_GB2312" w:cs="Arial"/>
                <w:color w:val="000000"/>
                <w:kern w:val="0"/>
                <w:sz w:val="24"/>
                <w:szCs w:val="24"/>
              </w:rPr>
              <w:t>单位集中（专项）公开招聘、编外人员零星招聘和院士专家牵线搭桥等人才引进工作；组织开展事业单位新进人员岗前培训、人事干部业务知识培训、专业技术职务任职资格政策培训等人才培养工作；实地考察、选拔推荐各类优秀</w:t>
            </w:r>
            <w:r>
              <w:rPr>
                <w:rFonts w:ascii="仿宋_GB2312" w:hAnsi="Arial" w:eastAsia="仿宋_GB2312" w:cs="Arial"/>
                <w:color w:val="000000"/>
                <w:kern w:val="0"/>
                <w:sz w:val="24"/>
                <w:szCs w:val="24"/>
              </w:rPr>
              <w:t>人才</w:t>
            </w:r>
            <w:r>
              <w:rPr>
                <w:rFonts w:hint="eastAsia" w:ascii="仿宋_GB2312" w:hAnsi="Arial" w:eastAsia="仿宋_GB2312" w:cs="Arial"/>
                <w:color w:val="000000"/>
                <w:kern w:val="0"/>
                <w:sz w:val="24"/>
                <w:szCs w:val="24"/>
              </w:rPr>
              <w:t>、组织开展初级职称评审（认定）、中高级职称申报等人才评价</w:t>
            </w:r>
            <w:r>
              <w:rPr>
                <w:rFonts w:ascii="仿宋_GB2312" w:hAnsi="Arial" w:eastAsia="仿宋_GB2312" w:cs="Arial"/>
                <w:color w:val="000000"/>
                <w:kern w:val="0"/>
                <w:sz w:val="24"/>
                <w:szCs w:val="24"/>
              </w:rPr>
              <w:t>工作</w:t>
            </w:r>
            <w:r>
              <w:rPr>
                <w:rFonts w:hint="eastAsia" w:ascii="仿宋_GB2312" w:hAnsi="Arial" w:eastAsia="仿宋_GB2312" w:cs="Arial"/>
                <w:color w:val="000000"/>
                <w:kern w:val="0"/>
                <w:sz w:val="24"/>
                <w:szCs w:val="24"/>
              </w:rPr>
              <w:t>；好区委区政府交办的其他重大工程、重点项目相关人才人事工作。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ind w:firstLine="482" w:firstLineChars="200"/>
              <w:jc w:val="center"/>
              <w:rPr>
                <w:rFonts w:hint="eastAsia" w:ascii="仿宋_GB2312" w:hAnsi="Arial" w:eastAsia="仿宋_GB2312" w:cs="Arial"/>
                <w:color w:val="000000"/>
                <w:kern w:val="0"/>
                <w:sz w:val="24"/>
                <w:szCs w:val="24"/>
              </w:rPr>
            </w:pPr>
            <w:r>
              <w:rPr>
                <w:rFonts w:hint="eastAsia" w:ascii="仿宋_GB2312" w:hAnsi="宋体" w:eastAsia="仿宋_GB2312" w:cs="Arial"/>
                <w:b/>
                <w:bCs/>
                <w:color w:val="000000"/>
                <w:kern w:val="0"/>
                <w:sz w:val="24"/>
                <w:szCs w:val="24"/>
                <w:lang w:val="en-US" w:eastAsia="zh-CN"/>
              </w:rPr>
              <w:t>年度</w:t>
            </w:r>
            <w:r>
              <w:rPr>
                <w:rFonts w:hint="eastAsia" w:ascii="仿宋_GB2312" w:hAnsi="宋体" w:eastAsia="仿宋_GB2312" w:cs="Arial"/>
                <w:b/>
                <w:bCs/>
                <w:color w:val="000000"/>
                <w:kern w:val="0"/>
                <w:sz w:val="24"/>
                <w:szCs w:val="24"/>
              </w:rPr>
              <w:t>绩效目标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名称</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2333"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left"/>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人才引育和人才评价　</w:t>
            </w:r>
          </w:p>
        </w:tc>
        <w:tc>
          <w:tcPr>
            <w:tcW w:w="651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ind w:firstLine="480" w:firstLineChars="200"/>
              <w:jc w:val="left"/>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组织开展</w:t>
            </w:r>
            <w:r>
              <w:rPr>
                <w:rFonts w:ascii="仿宋_GB2312" w:hAnsi="Arial" w:eastAsia="仿宋_GB2312" w:cs="Arial"/>
                <w:color w:val="000000"/>
                <w:kern w:val="0"/>
                <w:sz w:val="24"/>
                <w:szCs w:val="24"/>
              </w:rPr>
              <w:t>全区事业</w:t>
            </w:r>
            <w:r>
              <w:rPr>
                <w:rFonts w:hint="eastAsia" w:ascii="仿宋_GB2312" w:hAnsi="Arial" w:eastAsia="仿宋_GB2312" w:cs="Arial"/>
                <w:color w:val="000000"/>
                <w:kern w:val="0"/>
                <w:sz w:val="24"/>
                <w:szCs w:val="24"/>
              </w:rPr>
              <w:t>单位集中（专项）公开招聘、编外人员零星招聘和院士专家牵线搭桥等人才引进工作；组织开展事业单位新进人员岗前培训、人事干部业务知识培训、专业技术职务任职资格政策培训等人才培养工作；实地考察、选拔推荐各类优秀</w:t>
            </w:r>
            <w:r>
              <w:rPr>
                <w:rFonts w:ascii="仿宋_GB2312" w:hAnsi="Arial" w:eastAsia="仿宋_GB2312" w:cs="Arial"/>
                <w:color w:val="000000"/>
                <w:kern w:val="0"/>
                <w:sz w:val="24"/>
                <w:szCs w:val="24"/>
              </w:rPr>
              <w:t>人才</w:t>
            </w:r>
            <w:r>
              <w:rPr>
                <w:rFonts w:hint="eastAsia" w:ascii="仿宋_GB2312" w:hAnsi="Arial" w:eastAsia="仿宋_GB2312" w:cs="Arial"/>
                <w:color w:val="000000"/>
                <w:kern w:val="0"/>
                <w:sz w:val="24"/>
                <w:szCs w:val="24"/>
              </w:rPr>
              <w:t>、组织开展初级职称评审（认定）、中高级职称申报等人才评价</w:t>
            </w:r>
            <w:r>
              <w:rPr>
                <w:rFonts w:ascii="仿宋_GB2312" w:hAnsi="Arial" w:eastAsia="仿宋_GB2312" w:cs="Arial"/>
                <w:color w:val="000000"/>
                <w:kern w:val="0"/>
                <w:sz w:val="24"/>
                <w:szCs w:val="24"/>
              </w:rPr>
              <w:t>工作</w:t>
            </w:r>
            <w:r>
              <w:rPr>
                <w:rFonts w:hint="eastAsia" w:ascii="仿宋_GB2312" w:hAnsi="Arial" w:eastAsia="仿宋_GB2312" w:cs="Arial"/>
                <w:color w:val="000000"/>
                <w:kern w:val="0"/>
                <w:sz w:val="24"/>
                <w:szCs w:val="24"/>
              </w:rPr>
              <w:t>；好区委区政府交办的其他重大工程、重点项目相关人才人事工作。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b/>
                <w:bCs/>
                <w:color w:val="000000"/>
                <w:kern w:val="0"/>
                <w:sz w:val="24"/>
                <w:szCs w:val="24"/>
                <w:lang w:eastAsia="zh-CN"/>
              </w:rPr>
            </w:pPr>
            <w:r>
              <w:rPr>
                <w:rFonts w:hint="eastAsia" w:ascii="仿宋_GB2312" w:hAnsi="宋体" w:eastAsia="仿宋_GB2312" w:cs="Arial"/>
                <w:b/>
                <w:bCs/>
                <w:color w:val="000000"/>
                <w:kern w:val="0"/>
                <w:sz w:val="24"/>
                <w:szCs w:val="24"/>
              </w:rPr>
              <w:t>长期绩效</w:t>
            </w:r>
            <w:r>
              <w:rPr>
                <w:rFonts w:hint="eastAsia" w:ascii="仿宋_GB2312" w:hAnsi="宋体" w:eastAsia="仿宋_GB2312" w:cs="Arial"/>
                <w:b/>
                <w:bCs/>
                <w:color w:val="000000"/>
                <w:kern w:val="0"/>
                <w:sz w:val="24"/>
                <w:szCs w:val="24"/>
                <w:lang w:val="en-US"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5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52" w:type="dxa"/>
            <w:vMerge w:val="restart"/>
            <w:tcBorders>
              <w:top w:val="single" w:color="000000" w:sz="4" w:space="0"/>
              <w:left w:val="single" w:color="000000" w:sz="4" w:space="0"/>
              <w:right w:val="single" w:color="000000" w:sz="4" w:space="0"/>
            </w:tcBorders>
            <w:tcMar>
              <w:top w:w="0" w:type="dxa"/>
              <w:left w:w="57" w:type="dxa"/>
              <w:bottom w:w="0" w:type="dxa"/>
              <w:right w:w="57" w:type="dxa"/>
            </w:tcMar>
          </w:tcPr>
          <w:p>
            <w:pPr>
              <w:widowControl/>
              <w:snapToGrid w:val="0"/>
              <w:jc w:val="center"/>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 xml:space="preserve">   </w:t>
            </w:r>
          </w:p>
          <w:p>
            <w:pPr>
              <w:widowControl/>
              <w:snapToGrid w:val="0"/>
              <w:jc w:val="center"/>
              <w:rPr>
                <w:rFonts w:hint="eastAsia" w:ascii="仿宋_GB2312" w:hAnsi="Arial" w:eastAsia="仿宋_GB2312" w:cs="Arial"/>
                <w:color w:val="000000"/>
                <w:kern w:val="0"/>
                <w:sz w:val="24"/>
                <w:szCs w:val="24"/>
                <w:lang w:val="en-US" w:eastAsia="zh-CN"/>
              </w:rPr>
            </w:pPr>
          </w:p>
          <w:p>
            <w:pPr>
              <w:widowControl/>
              <w:snapToGrid w:val="0"/>
              <w:jc w:val="center"/>
              <w:rPr>
                <w:rFonts w:hint="eastAsia" w:ascii="仿宋_GB2312" w:hAnsi="Arial" w:eastAsia="仿宋_GB2312" w:cs="Arial"/>
                <w:color w:val="000000"/>
                <w:kern w:val="0"/>
                <w:sz w:val="24"/>
                <w:szCs w:val="24"/>
                <w:lang w:val="en-US" w:eastAsia="zh-CN"/>
              </w:rPr>
            </w:pPr>
          </w:p>
          <w:p>
            <w:pPr>
              <w:widowControl/>
              <w:snapToGrid w:val="0"/>
              <w:jc w:val="center"/>
              <w:rPr>
                <w:rFonts w:hint="eastAsia" w:ascii="仿宋_GB2312" w:hAnsi="Arial" w:eastAsia="仿宋_GB2312" w:cs="Arial"/>
                <w:color w:val="000000"/>
                <w:kern w:val="0"/>
                <w:sz w:val="24"/>
                <w:szCs w:val="24"/>
                <w:lang w:val="en-US" w:eastAsia="zh-CN"/>
              </w:rPr>
            </w:pPr>
          </w:p>
          <w:p>
            <w:pPr>
              <w:widowControl/>
              <w:snapToGrid w:val="0"/>
              <w:jc w:val="center"/>
              <w:rPr>
                <w:rFonts w:hint="eastAsia" w:ascii="仿宋_GB2312" w:hAnsi="Arial" w:eastAsia="仿宋_GB2312" w:cs="Arial"/>
                <w:color w:val="000000"/>
                <w:kern w:val="0"/>
                <w:sz w:val="24"/>
                <w:szCs w:val="24"/>
                <w:lang w:val="en-US" w:eastAsia="zh-CN"/>
              </w:rPr>
            </w:pPr>
          </w:p>
          <w:p>
            <w:pPr>
              <w:widowControl/>
              <w:snapToGrid w:val="0"/>
              <w:jc w:val="center"/>
              <w:rPr>
                <w:rFonts w:hint="eastAsia" w:ascii="仿宋_GB2312" w:hAnsi="Arial" w:eastAsia="仿宋_GB2312" w:cs="Arial"/>
                <w:color w:val="000000"/>
                <w:kern w:val="0"/>
                <w:sz w:val="24"/>
                <w:szCs w:val="24"/>
                <w:lang w:val="en-US" w:eastAsia="zh-CN"/>
              </w:rPr>
            </w:pPr>
          </w:p>
          <w:p>
            <w:pPr>
              <w:widowControl/>
              <w:snapToGrid w:val="0"/>
              <w:jc w:val="center"/>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人才引育和人才评价</w:t>
            </w:r>
          </w:p>
          <w:p>
            <w:pPr>
              <w:widowControl/>
              <w:snapToGrid w:val="0"/>
              <w:jc w:val="center"/>
              <w:rPr>
                <w:rFonts w:hint="eastAsia" w:ascii="仿宋_GB2312" w:hAnsi="宋体"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公开招聘完成率</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tcPr>
          <w:p>
            <w:pPr>
              <w:widowControl/>
              <w:snapToGrid w:val="0"/>
              <w:jc w:val="center"/>
              <w:rPr>
                <w:rFonts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数量</w:t>
            </w:r>
            <w:r>
              <w:rPr>
                <w:rFonts w:hint="eastAsia" w:ascii="仿宋_GB2312" w:hAnsi="Arial" w:eastAsia="仿宋_GB2312" w:cs="Arial"/>
                <w:color w:val="000000"/>
                <w:kern w:val="0"/>
                <w:sz w:val="24"/>
                <w:szCs w:val="24"/>
              </w:rPr>
              <w:t>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职称评审（认定）完成率</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jc w:val="center"/>
              <w:rPr>
                <w:rFonts w:hint="eastAsia" w:ascii="仿宋_GB2312" w:hAnsi="Arial"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数量</w:t>
            </w:r>
            <w:r>
              <w:rPr>
                <w:rFonts w:hint="eastAsia" w:ascii="仿宋_GB2312" w:hAnsi="Arial" w:eastAsia="仿宋_GB2312" w:cs="Arial"/>
                <w:color w:val="000000"/>
                <w:kern w:val="0"/>
                <w:sz w:val="24"/>
                <w:szCs w:val="24"/>
              </w:rPr>
              <w:t>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实地考察完成率</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质量指标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参训人员出勤率</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质量指标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人员培训完成率</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100%</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1" w:hRule="atLeast"/>
          <w:jc w:val="center"/>
        </w:trPr>
        <w:tc>
          <w:tcPr>
            <w:tcW w:w="1152"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时效指标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完成及时率</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12月底前全部完成</w:t>
            </w:r>
          </w:p>
        </w:tc>
        <w:tc>
          <w:tcPr>
            <w:tcW w:w="238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jc w:val="center"/>
              <w:rPr>
                <w:rFonts w:ascii="仿宋_GB2312" w:hAnsi="Arial"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884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w:t>
            </w:r>
            <w:r>
              <w:rPr>
                <w:rFonts w:hint="eastAsia" w:ascii="仿宋_GB2312" w:hAnsi="宋体" w:eastAsia="仿宋_GB2312" w:cs="Arial"/>
                <w:b/>
                <w:bCs/>
                <w:color w:val="000000"/>
                <w:kern w:val="0"/>
                <w:sz w:val="24"/>
                <w:szCs w:val="24"/>
                <w:lang w:val="en-US"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81"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0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231"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692" w:type="dxa"/>
            <w:gridSpan w:val="3"/>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482"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Arial"/>
                <w:color w:val="000000"/>
                <w:kern w:val="0"/>
                <w:sz w:val="24"/>
                <w:szCs w:val="24"/>
              </w:rPr>
            </w:pPr>
          </w:p>
        </w:tc>
        <w:tc>
          <w:tcPr>
            <w:tcW w:w="118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Arial"/>
                <w:color w:val="000000"/>
                <w:kern w:val="0"/>
                <w:sz w:val="24"/>
                <w:szCs w:val="24"/>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Arial"/>
                <w:color w:val="000000"/>
                <w:kern w:val="0"/>
                <w:sz w:val="24"/>
                <w:szCs w:val="24"/>
              </w:rPr>
            </w:pPr>
          </w:p>
        </w:tc>
        <w:tc>
          <w:tcPr>
            <w:tcW w:w="123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Arial"/>
                <w:color w:val="000000"/>
                <w:kern w:val="0"/>
                <w:sz w:val="24"/>
                <w:szCs w:val="24"/>
              </w:rPr>
            </w:pPr>
          </w:p>
        </w:tc>
        <w:tc>
          <w:tcPr>
            <w:tcW w:w="867"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92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0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预计当年实现</w:t>
            </w:r>
          </w:p>
        </w:tc>
        <w:tc>
          <w:tcPr>
            <w:tcW w:w="1482"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vMerge w:val="restart"/>
            <w:tcBorders>
              <w:top w:val="single" w:color="000000" w:sz="4" w:space="0"/>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人才引育和人才评价</w:t>
            </w:r>
          </w:p>
          <w:p>
            <w:pPr>
              <w:widowControl/>
              <w:snapToGrid w:val="0"/>
              <w:jc w:val="center"/>
              <w:rPr>
                <w:rFonts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公开招聘完成率</w:t>
            </w:r>
          </w:p>
        </w:tc>
        <w:tc>
          <w:tcPr>
            <w:tcW w:w="86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0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数量</w:t>
            </w:r>
            <w:r>
              <w:rPr>
                <w:rFonts w:hint="eastAsia" w:ascii="仿宋_GB2312" w:hAnsi="Arial" w:eastAsia="仿宋_GB2312" w:cs="Arial"/>
                <w:color w:val="000000"/>
                <w:kern w:val="0"/>
                <w:sz w:val="24"/>
                <w:szCs w:val="24"/>
              </w:rPr>
              <w:t>指标</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职称评审（认定）完成率</w:t>
            </w:r>
          </w:p>
        </w:tc>
        <w:tc>
          <w:tcPr>
            <w:tcW w:w="86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0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数量</w:t>
            </w:r>
            <w:r>
              <w:rPr>
                <w:rFonts w:hint="eastAsia" w:ascii="仿宋_GB2312" w:hAnsi="Arial" w:eastAsia="仿宋_GB2312" w:cs="Arial"/>
                <w:color w:val="000000"/>
                <w:kern w:val="0"/>
                <w:sz w:val="24"/>
                <w:szCs w:val="24"/>
              </w:rPr>
              <w:t>指标</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实地考察完成率</w:t>
            </w:r>
          </w:p>
        </w:tc>
        <w:tc>
          <w:tcPr>
            <w:tcW w:w="86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0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质量指标</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人员培训完成率</w:t>
            </w:r>
          </w:p>
        </w:tc>
        <w:tc>
          <w:tcPr>
            <w:tcW w:w="86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0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jc w:val="center"/>
        </w:trPr>
        <w:tc>
          <w:tcPr>
            <w:tcW w:w="1152" w:type="dxa"/>
            <w:vMerge w:val="continue"/>
            <w:tcBorders>
              <w:left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质量指标</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val="en-US" w:eastAsia="zh-CN"/>
              </w:rPr>
              <w:t>参训人员出勤率</w:t>
            </w:r>
          </w:p>
        </w:tc>
        <w:tc>
          <w:tcPr>
            <w:tcW w:w="86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90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ascii="仿宋_GB2312" w:hAnsi="Arial" w:eastAsia="仿宋_GB2312" w:cs="Arial"/>
                <w:color w:val="000000"/>
                <w:kern w:val="0"/>
                <w:sz w:val="24"/>
                <w:szCs w:val="24"/>
              </w:rPr>
              <w:t>100</w:t>
            </w:r>
            <w:r>
              <w:rPr>
                <w:rFonts w:hint="eastAsia" w:ascii="仿宋_GB2312" w:hAnsi="Arial" w:eastAsia="仿宋_GB2312" w:cs="Arial"/>
                <w:color w:val="000000"/>
                <w:kern w:val="0"/>
                <w:sz w:val="24"/>
                <w:szCs w:val="24"/>
              </w:rPr>
              <w:t>%</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1152"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tcPr>
          <w:p>
            <w:pPr>
              <w:widowControl/>
              <w:snapToGrid w:val="0"/>
              <w:jc w:val="center"/>
              <w:rPr>
                <w:rFonts w:ascii="仿宋_GB2312" w:hAnsi="Arial" w:eastAsia="仿宋_GB2312" w:cs="Arial"/>
                <w:color w:val="000000"/>
                <w:kern w:val="0"/>
                <w:sz w:val="24"/>
                <w:szCs w:val="24"/>
              </w:rPr>
            </w:pPr>
          </w:p>
        </w:tc>
        <w:tc>
          <w:tcPr>
            <w:tcW w:w="118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0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时效指标</w:t>
            </w:r>
          </w:p>
        </w:tc>
        <w:tc>
          <w:tcPr>
            <w:tcW w:w="1231"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完成及时率</w:t>
            </w:r>
          </w:p>
        </w:tc>
        <w:tc>
          <w:tcPr>
            <w:tcW w:w="86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12月底前</w:t>
            </w:r>
          </w:p>
        </w:tc>
        <w:tc>
          <w:tcPr>
            <w:tcW w:w="9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12月底前</w:t>
            </w:r>
          </w:p>
        </w:tc>
        <w:tc>
          <w:tcPr>
            <w:tcW w:w="90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12月底前</w:t>
            </w:r>
          </w:p>
        </w:tc>
        <w:tc>
          <w:tcPr>
            <w:tcW w:w="148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其他标准</w:t>
            </w:r>
          </w:p>
        </w:tc>
      </w:tr>
    </w:tbl>
    <w:p/>
    <w:sectPr>
      <w:pgSz w:w="11906" w:h="16838"/>
      <w:pgMar w:top="283" w:right="567" w:bottom="283"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s>
  <w:rsids>
    <w:rsidRoot w:val="006724E5"/>
    <w:rsid w:val="0000076A"/>
    <w:rsid w:val="0017264D"/>
    <w:rsid w:val="001B2B9E"/>
    <w:rsid w:val="00385F00"/>
    <w:rsid w:val="003F0B0F"/>
    <w:rsid w:val="004F2A5C"/>
    <w:rsid w:val="004F5ECC"/>
    <w:rsid w:val="006627B3"/>
    <w:rsid w:val="006724E5"/>
    <w:rsid w:val="007E4002"/>
    <w:rsid w:val="008773BE"/>
    <w:rsid w:val="0090551B"/>
    <w:rsid w:val="00DB2CD8"/>
    <w:rsid w:val="00DC5E54"/>
    <w:rsid w:val="00E424ED"/>
    <w:rsid w:val="02335201"/>
    <w:rsid w:val="02337F02"/>
    <w:rsid w:val="024E68F9"/>
    <w:rsid w:val="07BD09FE"/>
    <w:rsid w:val="08D34C3C"/>
    <w:rsid w:val="0CC44C15"/>
    <w:rsid w:val="104C5AA3"/>
    <w:rsid w:val="120F5D2F"/>
    <w:rsid w:val="16ED44C3"/>
    <w:rsid w:val="1726585A"/>
    <w:rsid w:val="177B0D14"/>
    <w:rsid w:val="18235CAA"/>
    <w:rsid w:val="19897784"/>
    <w:rsid w:val="1A4B0F7D"/>
    <w:rsid w:val="1BC34709"/>
    <w:rsid w:val="27EC2485"/>
    <w:rsid w:val="2C8E776E"/>
    <w:rsid w:val="300833C4"/>
    <w:rsid w:val="31A07FCB"/>
    <w:rsid w:val="35494B7A"/>
    <w:rsid w:val="357B73AE"/>
    <w:rsid w:val="35965AA5"/>
    <w:rsid w:val="44817E08"/>
    <w:rsid w:val="46DA3884"/>
    <w:rsid w:val="4D4A12EE"/>
    <w:rsid w:val="4D972C5A"/>
    <w:rsid w:val="4EFA0AE7"/>
    <w:rsid w:val="52FC0FA6"/>
    <w:rsid w:val="538232D9"/>
    <w:rsid w:val="57FCAFAB"/>
    <w:rsid w:val="597F669A"/>
    <w:rsid w:val="59DD77B5"/>
    <w:rsid w:val="5BA50883"/>
    <w:rsid w:val="5D1A19A5"/>
    <w:rsid w:val="6056236C"/>
    <w:rsid w:val="63F143F1"/>
    <w:rsid w:val="66636628"/>
    <w:rsid w:val="66BF255F"/>
    <w:rsid w:val="69AA06DD"/>
    <w:rsid w:val="6BAF1A7B"/>
    <w:rsid w:val="6CA80961"/>
    <w:rsid w:val="6D8231DC"/>
    <w:rsid w:val="71175551"/>
    <w:rsid w:val="73425776"/>
    <w:rsid w:val="73E72195"/>
    <w:rsid w:val="7EEA71E3"/>
    <w:rsid w:val="7F0B4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8" w:lineRule="auto"/>
      <w:outlineLvl w:val="0"/>
    </w:pPr>
    <w:rPr>
      <w:b/>
      <w:kern w:val="44"/>
      <w:sz w:val="44"/>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1709</Words>
  <Characters>1881</Characters>
  <Lines>15</Lines>
  <Paragraphs>4</Paragraphs>
  <TotalTime>30</TotalTime>
  <ScaleCrop>false</ScaleCrop>
  <LinksUpToDate>false</LinksUpToDate>
  <CharactersWithSpaces>1911</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Mi Manchi</cp:lastModifiedBy>
  <cp:lastPrinted>2024-12-30T03:14:00Z</cp:lastPrinted>
  <dcterms:modified xsi:type="dcterms:W3CDTF">2025-01-13T09:22:15Z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A47C5D84466944459C64BDB1DA87701B</vt:lpwstr>
  </property>
</Properties>
</file>