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bookmarkStart w:id="0" w:name="_GoBack"/>
      <w:bookmarkEnd w:id="0"/>
      <w:r>
        <w:rPr>
          <w:rFonts w:hint="eastAsia"/>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718"/>
        <w:gridCol w:w="993"/>
        <w:gridCol w:w="1701"/>
        <w:gridCol w:w="1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Cs w:val="21"/>
              </w:rPr>
              <w:t>失业保险专项业务费　</w:t>
            </w:r>
            <w:r>
              <w:rPr>
                <w:rFonts w:hint="eastAsia" w:ascii="仿宋_GB2312" w:hAnsi="Arial" w:eastAsia="仿宋_GB2312" w:cs="Arial"/>
                <w:color w:val="000000"/>
                <w:kern w:val="0"/>
                <w:sz w:val="24"/>
                <w:szCs w:val="24"/>
              </w:rPr>
              <w:t>　</w:t>
            </w:r>
          </w:p>
        </w:tc>
        <w:tc>
          <w:tcPr>
            <w:tcW w:w="171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蔡甸区人社局</w:t>
            </w:r>
          </w:p>
        </w:tc>
        <w:tc>
          <w:tcPr>
            <w:tcW w:w="171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王军波</w:t>
            </w:r>
          </w:p>
        </w:tc>
        <w:tc>
          <w:tcPr>
            <w:tcW w:w="171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13971158732</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常年性项目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025</w:t>
            </w:r>
            <w:r>
              <w:rPr>
                <w:rFonts w:hint="eastAsia" w:ascii="仿宋_GB2312" w:hAnsi="Arial" w:eastAsia="仿宋_GB2312" w:cs="Arial"/>
                <w:color w:val="000000"/>
                <w:kern w:val="0"/>
                <w:sz w:val="24"/>
                <w:szCs w:val="24"/>
              </w:rPr>
              <w:t>　</w:t>
            </w:r>
          </w:p>
        </w:tc>
        <w:tc>
          <w:tcPr>
            <w:tcW w:w="171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1、根据《湖北省财政厅关于企业职工养老、失业保险经办机构经费纳入财政预算有关问题的通知》鄂财社发【1997】1064号文精神，失业保险经办机构工作业务经费和专项经费列入财政预算。</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2、根据湖北省人民政府办公厅关于进一步做好社会保险扩面征缴工作的通知（鄂政办发【2008】1号）第六点切实加强组织领导，要高度重视社会保险扩面工作，足额安排社会保险扩面征缴工作经费。</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3、根据“中华人民共和国社会保险法（主席令第35号）”其中第五章失业保险：第四十八条至第五十一条；第九章社会保险经办：第七十二条社会保险经办机构的人员经费和经办社会保险发生的基本运行费用、管理费用，由同级财政按照国家规定予以保障。</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4、根据失业保险条例（国务院令第258号）规定的相关职能，开展失业保险工作根据条例第二章失业保险基金中第五条职能规定负责全区企事业单位、城镇企事业单位职工的失业保险费征收；第十条负责全区失业保险金待遇发放；第四章第二十五条负责失业人员的登记、调查、统计并按规定负责失业保险基金的管理，按规定核定失业保险待遇开具失业人员在指定银行领取失业保险金的单证；根据259号令第三章监督检查其中第二十条社会保险经办机构受劳动保障行政部门的委托，可以进行与社会保险费征缴有关的检查、调查工作。</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5、根据鄂人社发【2011】50号、武人社发【2011】84号、武人社办【2011】117号文、蔡人社【2015】5号文关于为领取失业保险金人员缴纳职工医疗保险费，待失业职工享受待遇期满时，要及时告知失业职工在灵活就业窗口职工医保或居民医保办理接续手续。</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 xml:space="preserve">6、根据人社部发【2009】175号文、人社厅函【2010】35号文、武劳社【2009】29号文、武劳社【2009】36号文、武人社发【2010】96号文、武人社发【2013】59号、武人社发【2015】82号文关于进一步稳定就业局势、稳定就业岗位及支持企业开展职工培训等，要做到及时政策宣传，指导及培训等相关工作。 </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7、根据《关于湖北省失业保险支持企业参保职工技能提升补贴办法》（鄂人社发【2017】34号文）的通知，为提升企业参保职工职业技能，充分发挥失业保险促进就业和稳定就业作用，制定了企业参保职工技能提升补贴的办法。</w:t>
            </w:r>
          </w:p>
          <w:p>
            <w:pPr>
              <w:widowControl/>
              <w:snapToGrid w:val="0"/>
              <w:jc w:val="left"/>
              <w:rPr>
                <w:rFonts w:ascii="仿宋_GB2312" w:hAnsi="Arial" w:eastAsia="仿宋_GB2312" w:cs="Arial"/>
                <w:color w:val="000000"/>
                <w:kern w:val="0"/>
                <w:sz w:val="13"/>
                <w:szCs w:val="13"/>
              </w:rPr>
            </w:pPr>
            <w:r>
              <w:rPr>
                <w:rFonts w:hint="eastAsia" w:ascii="仿宋_GB2312" w:hAnsi="Arial" w:eastAsia="仿宋_GB2312" w:cs="Arial"/>
                <w:color w:val="000000"/>
                <w:kern w:val="0"/>
                <w:sz w:val="13"/>
                <w:szCs w:val="13"/>
              </w:rPr>
              <w:t>8、根据《关于做好失业动态监测工作有关问题的通知》（人社部发【2009】152号）、人力资源和社会保障部关于进一步做好失业保险动态工作有关问题的通知（人社部函【2011】308号文）、湖北省人社厅转发人社部关于做好失业动态监测工作有关问题的通知（鄂人社发【2009】38号文）、湖北省人力资源和社会保障厅办公室关于进一步做好失业动态监测工作有关问题的通知（鄂人社办函【2013】39号文）文件精神，切实加强组织领导，加强有关部门沟通和协调，做好行业、企业的宣传工作。根据失业动态监测工作的特点，加快建立协调有序的工作机制，明确牵头部门和配合单位，落实任务、责任和工作经费。制定本地区实施方案，确定监测企业，按时建立监测企业从业人员情况基础数据档案，不定期组织开展监测企业经办人员政策和业务培训。根据鄂人社发【2009】38号文件精神中第六点，监测城市要争取财政部门将失业动态监测工作经费列入预算，并对监测企业给予一定的工作经费。</w:t>
            </w:r>
          </w:p>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13"/>
                <w:szCs w:val="13"/>
              </w:rPr>
              <w:t>9、根据社会保险业务档案管理规定，中华人民共和国人力资源和社会保障部、国家档案局令第3号文，业务档案要有专门的管理员和必要的设施、场所，确保档案的安全，并根据需要配备适应档案现代化管理要求的技术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eastAsia="仿宋_GB2312"/>
                <w:sz w:val="15"/>
                <w:szCs w:val="15"/>
              </w:rPr>
            </w:pPr>
            <w:r>
              <w:rPr>
                <w:rFonts w:hint="eastAsia" w:ascii="仿宋_GB2312" w:eastAsia="仿宋_GB2312"/>
                <w:sz w:val="15"/>
                <w:szCs w:val="15"/>
              </w:rPr>
              <w:t>1</w:t>
            </w:r>
            <w:r>
              <w:rPr>
                <w:rFonts w:ascii="仿宋_GB2312" w:eastAsia="仿宋_GB2312"/>
                <w:sz w:val="15"/>
                <w:szCs w:val="15"/>
              </w:rPr>
              <w:t>.</w:t>
            </w:r>
            <w:r>
              <w:rPr>
                <w:rFonts w:hint="eastAsia" w:ascii="仿宋_GB2312" w:eastAsia="仿宋_GB2312"/>
                <w:sz w:val="15"/>
                <w:szCs w:val="15"/>
              </w:rPr>
              <w:t>业务档案要有专门的管理员和必要的设施、场所，确保档案的安全，并根据需要配备适应档案现代化管理要求的技术设备，所需经费</w:t>
            </w:r>
            <w:r>
              <w:rPr>
                <w:rFonts w:ascii="仿宋_GB2312" w:eastAsia="仿宋_GB2312"/>
                <w:sz w:val="15"/>
                <w:szCs w:val="15"/>
              </w:rPr>
              <w:t>0.5</w:t>
            </w:r>
            <w:r>
              <w:rPr>
                <w:rFonts w:hint="eastAsia" w:ascii="仿宋_GB2312" w:eastAsia="仿宋_GB2312"/>
                <w:sz w:val="15"/>
                <w:szCs w:val="15"/>
              </w:rPr>
              <w:t>万元；</w:t>
            </w:r>
          </w:p>
          <w:p>
            <w:pPr>
              <w:widowControl/>
              <w:snapToGrid w:val="0"/>
              <w:jc w:val="left"/>
              <w:rPr>
                <w:rFonts w:ascii="仿宋_GB2312" w:eastAsia="仿宋_GB2312"/>
                <w:sz w:val="15"/>
                <w:szCs w:val="15"/>
              </w:rPr>
            </w:pPr>
            <w:r>
              <w:rPr>
                <w:rFonts w:ascii="仿宋_GB2312" w:eastAsia="仿宋_GB2312"/>
                <w:sz w:val="15"/>
                <w:szCs w:val="15"/>
              </w:rPr>
              <w:t>2.</w:t>
            </w:r>
            <w:r>
              <w:rPr>
                <w:rFonts w:hint="eastAsia" w:ascii="仿宋_GB2312" w:eastAsia="仿宋_GB2312"/>
                <w:sz w:val="15"/>
                <w:szCs w:val="15"/>
              </w:rPr>
              <w:t>开展对人力资源劳务派遣单位的信息收集、比对核查和实行名录库备案登记管理所需经费</w:t>
            </w:r>
            <w:r>
              <w:rPr>
                <w:rFonts w:ascii="仿宋_GB2312" w:eastAsia="仿宋_GB2312"/>
                <w:sz w:val="15"/>
                <w:szCs w:val="15"/>
              </w:rPr>
              <w:t>1</w:t>
            </w:r>
            <w:r>
              <w:rPr>
                <w:rFonts w:hint="eastAsia" w:ascii="仿宋_GB2312" w:eastAsia="仿宋_GB2312"/>
                <w:sz w:val="15"/>
                <w:szCs w:val="15"/>
              </w:rPr>
              <w:t>万元；</w:t>
            </w:r>
          </w:p>
          <w:p>
            <w:pPr>
              <w:widowControl/>
              <w:snapToGrid w:val="0"/>
              <w:jc w:val="left"/>
              <w:rPr>
                <w:rFonts w:ascii="仿宋_GB2312" w:eastAsia="仿宋_GB2312"/>
                <w:sz w:val="15"/>
                <w:szCs w:val="15"/>
              </w:rPr>
            </w:pPr>
            <w:r>
              <w:rPr>
                <w:rFonts w:ascii="仿宋_GB2312" w:eastAsia="仿宋_GB2312"/>
                <w:sz w:val="15"/>
                <w:szCs w:val="15"/>
              </w:rPr>
              <w:t>3.</w:t>
            </w:r>
            <w:r>
              <w:rPr>
                <w:rFonts w:hint="eastAsia" w:ascii="仿宋_GB2312" w:eastAsia="仿宋_GB2312"/>
                <w:sz w:val="15"/>
                <w:szCs w:val="15"/>
              </w:rPr>
              <w:t>对于大量的疑点数据稽核和核查（疑点数据的稽核和核查必须上门核实）及外省协查函、电话、短信和邮寄费用所需0.</w:t>
            </w:r>
            <w:r>
              <w:rPr>
                <w:rFonts w:ascii="仿宋_GB2312" w:eastAsia="仿宋_GB2312"/>
                <w:sz w:val="15"/>
                <w:szCs w:val="15"/>
              </w:rPr>
              <w:t>5</w:t>
            </w:r>
            <w:r>
              <w:rPr>
                <w:rFonts w:hint="eastAsia" w:ascii="仿宋_GB2312" w:eastAsia="仿宋_GB2312"/>
                <w:sz w:val="15"/>
                <w:szCs w:val="15"/>
              </w:rPr>
              <w:t xml:space="preserve">万元； </w:t>
            </w:r>
          </w:p>
          <w:p>
            <w:pPr>
              <w:widowControl/>
              <w:snapToGrid w:val="0"/>
              <w:jc w:val="left"/>
              <w:rPr>
                <w:rFonts w:ascii="仿宋_GB2312" w:eastAsia="仿宋_GB231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2</w:t>
            </w:r>
          </w:p>
          <w:p>
            <w:pPr>
              <w:widowControl/>
              <w:snapToGrid w:val="0"/>
              <w:rPr>
                <w:rFonts w:ascii="仿宋_GB2312" w:hAnsi="Arial" w:eastAsia="仿宋_GB2312" w:cs="Arial"/>
                <w:color w:val="000000"/>
                <w:kern w:val="0"/>
                <w:sz w:val="24"/>
                <w:szCs w:val="24"/>
              </w:rPr>
            </w:pPr>
          </w:p>
        </w:tc>
        <w:tc>
          <w:tcPr>
            <w:tcW w:w="171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2</w:t>
            </w:r>
          </w:p>
          <w:p>
            <w:pPr>
              <w:widowControl/>
              <w:snapToGrid w:val="0"/>
              <w:jc w:val="center"/>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38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3" w:hRule="atLeast"/>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1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5"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人力资源劳务派遣信息收集比对、失业动态监测、稳岗返还宣传及后期的监管、失业保险扩面及相关业务开展宣传资料</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办公费</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ascii="仿宋_GB2312" w:hAnsi="宋体" w:eastAsia="仿宋_GB2312" w:cs="Arial"/>
                <w:color w:val="000000"/>
                <w:kern w:val="0"/>
                <w:sz w:val="13"/>
                <w:szCs w:val="13"/>
              </w:rPr>
              <w:t>1</w:t>
            </w:r>
          </w:p>
        </w:tc>
        <w:tc>
          <w:tcPr>
            <w:tcW w:w="341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eastAsia="仿宋_GB2312"/>
                <w:sz w:val="13"/>
                <w:szCs w:val="13"/>
              </w:rPr>
              <w:t>开展对人力资源劳务派遣单位的信息收集、比对核查和实行名录库备案登记管理；对全区稳岗返还宣传工作及后期资金的监管工作（特别是针对人力资源劳务派遣单位的稳岗返还资金进行分配指导使用）；</w:t>
            </w:r>
            <w:r>
              <w:rPr>
                <w:rFonts w:hint="eastAsia" w:ascii="仿宋_GB2312" w:hAnsi="Arial" w:eastAsia="仿宋_GB2312" w:cs="Arial"/>
                <w:color w:val="000000"/>
                <w:kern w:val="0"/>
                <w:sz w:val="13"/>
                <w:szCs w:val="13"/>
              </w:rPr>
              <w:t>社会保险法宣传资料、政务中心窗口一次性告知书打印、失业人员申领登记表打印、失业保险待遇审核流程打印、失业保险待遇审核流程打印等所需经费</w:t>
            </w:r>
            <w:r>
              <w:rPr>
                <w:rFonts w:hint="eastAsia" w:ascii="仿宋_GB2312" w:hAnsi="Arial" w:eastAsia="仿宋_GB2312" w:cs="Arial"/>
                <w:color w:val="000000"/>
                <w:kern w:val="0"/>
                <w:sz w:val="13"/>
                <w:szCs w:val="13"/>
                <w:lang w:val="en-US" w:eastAsia="zh-CN"/>
              </w:rPr>
              <w:t>1</w:t>
            </w:r>
            <w:r>
              <w:rPr>
                <w:rFonts w:hint="eastAsia" w:ascii="仿宋_GB2312" w:hAnsi="Arial" w:eastAsia="仿宋_GB2312" w:cs="Arial"/>
                <w:color w:val="000000"/>
                <w:kern w:val="0"/>
                <w:sz w:val="13"/>
                <w:szCs w:val="13"/>
              </w:rPr>
              <w:t>万元。</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疑点数据稽核和核查及外省协查函、电话。短信和邮寄费用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邮电费</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ascii="仿宋_GB2312" w:hAnsi="宋体" w:eastAsia="仿宋_GB2312" w:cs="Arial"/>
                <w:color w:val="000000"/>
                <w:kern w:val="0"/>
                <w:sz w:val="13"/>
                <w:szCs w:val="13"/>
              </w:rPr>
              <w:t>0.5</w:t>
            </w:r>
          </w:p>
        </w:tc>
        <w:tc>
          <w:tcPr>
            <w:tcW w:w="341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themeColor="text1"/>
                <w:kern w:val="0"/>
                <w:sz w:val="13"/>
                <w:szCs w:val="13"/>
                <w14:textFill>
                  <w14:solidFill>
                    <w14:schemeClr w14:val="tx1"/>
                  </w14:solidFill>
                </w14:textFill>
              </w:rPr>
            </w:pPr>
            <w:r>
              <w:rPr>
                <w:rFonts w:hint="eastAsia" w:ascii="仿宋_GB2312" w:hAnsi="宋体" w:eastAsia="仿宋_GB2312" w:cs="Arial"/>
                <w:color w:val="000000" w:themeColor="text1"/>
                <w:kern w:val="0"/>
                <w:sz w:val="13"/>
                <w:szCs w:val="13"/>
                <w14:textFill>
                  <w14:solidFill>
                    <w14:schemeClr w14:val="tx1"/>
                  </w14:solidFill>
                </w14:textFill>
              </w:rPr>
              <w:t>对大量的疑点数据稽核和核查（疑点数据的稽核和核查必须上面核实）及外省的疑点数据需邮寄协查函，告知失业职工医疗待遇期满后及时办理自己缴纳接续手续。</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档案管理及整理归档</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劳务费</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ascii="仿宋_GB2312" w:hAnsi="宋体" w:eastAsia="仿宋_GB2312" w:cs="Arial"/>
                <w:color w:val="000000"/>
                <w:kern w:val="0"/>
                <w:sz w:val="13"/>
                <w:szCs w:val="13"/>
              </w:rPr>
              <w:t>0.5</w:t>
            </w:r>
          </w:p>
        </w:tc>
        <w:tc>
          <w:tcPr>
            <w:tcW w:w="341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themeColor="text1"/>
                <w:kern w:val="0"/>
                <w:sz w:val="13"/>
                <w:szCs w:val="13"/>
                <w14:textFill>
                  <w14:solidFill>
                    <w14:schemeClr w14:val="tx1"/>
                  </w14:solidFill>
                </w14:textFill>
              </w:rPr>
            </w:pPr>
            <w:r>
              <w:rPr>
                <w:rFonts w:hint="eastAsia" w:ascii="仿宋_GB2312" w:hAnsi="宋体" w:eastAsia="仿宋_GB2312" w:cs="Arial"/>
                <w:color w:val="000000"/>
                <w:kern w:val="0"/>
                <w:sz w:val="13"/>
                <w:szCs w:val="13"/>
              </w:rPr>
              <w:t>档案整理达标归档</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p>
        </w:tc>
        <w:tc>
          <w:tcPr>
            <w:tcW w:w="341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themeColor="text1"/>
                <w:kern w:val="0"/>
                <w:sz w:val="13"/>
                <w:szCs w:val="13"/>
                <w14:textFill>
                  <w14:solidFill>
                    <w14:schemeClr w14:val="tx1"/>
                  </w14:solidFill>
                </w14:textFill>
              </w:rPr>
            </w:pP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p>
        </w:tc>
        <w:tc>
          <w:tcPr>
            <w:tcW w:w="4453"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1"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pPr>
              <w:widowControl/>
              <w:snapToGrid w:val="0"/>
              <w:ind w:firstLine="960" w:firstLineChars="400"/>
              <w:rPr>
                <w:rFonts w:ascii="仿宋_GB2312" w:eastAsia="仿宋_GB2312" w:cs="Arial"/>
                <w:color w:val="000000"/>
                <w:kern w:val="0"/>
                <w:sz w:val="24"/>
                <w:szCs w:val="24"/>
              </w:rPr>
            </w:pP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p>
        </w:tc>
        <w:tc>
          <w:tcPr>
            <w:tcW w:w="4453"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失业保险专项业务费</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失业保险费征收、失业保险净增参保人数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失业保险专项业务费</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用人单位稳岗返还、企业参保职工技能提升补贴足额拨付率100%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失业保险专项业务费</w:t>
            </w:r>
          </w:p>
        </w:tc>
        <w:tc>
          <w:tcPr>
            <w:tcW w:w="655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失业人员待遇按时足额发放率100%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1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失业保险费征收、</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13"/>
                <w:szCs w:val="13"/>
              </w:rPr>
              <w:t>核定项目是达到年初计划数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1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失业保险净增参保人数</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13"/>
                <w:szCs w:val="13"/>
              </w:rPr>
              <w:t>核定项目是达到年初计划数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1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用人单位稳岗返还、企业参保职工技能提升补贴足额拨付率100%</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13"/>
                <w:szCs w:val="13"/>
              </w:rPr>
              <w:t>核定项目是否达到年初计划数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1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落实保障失业人员各项待遇及时率100%</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ascii="仿宋_GB2312" w:hAnsi="宋体" w:eastAsia="仿宋_GB2312" w:cs="Arial"/>
                <w:color w:val="000000"/>
                <w:kern w:val="0"/>
                <w:sz w:val="18"/>
                <w:szCs w:val="18"/>
              </w:rPr>
              <w:t>100%</w:t>
            </w:r>
          </w:p>
        </w:tc>
        <w:tc>
          <w:tcPr>
            <w:tcW w:w="274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13"/>
                <w:szCs w:val="13"/>
              </w:rPr>
              <w:t>核实失业办关于保障失业人员的各项待遇（失业人员的失业金按时足额发放；纳失业职工的医疗保险费；技能提升补贴；丧葬抚恤金；临时价格补贴等）的落实及时率。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12"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41"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Arial"/>
                <w:color w:val="000000"/>
                <w:kern w:val="0"/>
                <w:sz w:val="24"/>
                <w:szCs w:val="24"/>
              </w:rPr>
            </w:pPr>
          </w:p>
        </w:tc>
        <w:tc>
          <w:tcPr>
            <w:tcW w:w="71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99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70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41"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95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失业保险费征收</w:t>
            </w:r>
          </w:p>
        </w:tc>
        <w:tc>
          <w:tcPr>
            <w:tcW w:w="718"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993"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701"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核定项目是否达到年初计划数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失业保险净增参保人数</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核定项目是否达到年初计划数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用人单位稳岗返还、企业参保职工技能提升补贴足额拨付率100%</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核定项目是否达到年初计划数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数量指标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失业人员待遇按时足额发放率100%</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核定项目是否达到年初计划数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产出</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时效指标</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落实保障失业人员各项待遇及时率100%</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ascii="仿宋_GB2312" w:hAnsi="宋体" w:eastAsia="仿宋_GB2312" w:cs="Arial"/>
                <w:color w:val="000000"/>
                <w:kern w:val="0"/>
                <w:sz w:val="18"/>
                <w:szCs w:val="18"/>
              </w:rPr>
              <w:t>100%</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核实失业办关于保障失业人员的各项待遇（失业人员的失业金按时足额发放；缴纳失业职工的医疗保险费；技能提升补贴；丧葬抚恤金；临时价格补贴等）的落实及时率。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效果</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社会效益</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失业保险政策宣传、失业保险政策知晓率95%</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≥95%</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核实失业保险政策宣传的社会效益。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失业保险专项业务费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效果</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相关群体感受</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民众满意度90%</w:t>
            </w:r>
          </w:p>
        </w:tc>
        <w:tc>
          <w:tcPr>
            <w:tcW w:w="7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w:t>
            </w:r>
            <w:r>
              <w:rPr>
                <w:rFonts w:ascii="仿宋_GB2312" w:hAnsi="宋体" w:eastAsia="仿宋_GB2312" w:cs="Arial"/>
                <w:color w:val="000000"/>
                <w:kern w:val="0"/>
                <w:sz w:val="18"/>
                <w:szCs w:val="18"/>
              </w:rPr>
              <w:t>0</w:t>
            </w:r>
            <w:r>
              <w:rPr>
                <w:rFonts w:hint="eastAsia" w:ascii="仿宋_GB2312" w:hAnsi="宋体" w:eastAsia="仿宋_GB2312" w:cs="Arial"/>
                <w:color w:val="000000"/>
                <w:kern w:val="0"/>
                <w:sz w:val="18"/>
                <w:szCs w:val="18"/>
              </w:rPr>
              <w:t>%</w:t>
            </w:r>
          </w:p>
        </w:tc>
        <w:tc>
          <w:tcPr>
            <w:tcW w:w="99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w:t>
            </w:r>
            <w:r>
              <w:rPr>
                <w:rFonts w:ascii="仿宋_GB2312" w:hAnsi="宋体" w:eastAsia="仿宋_GB2312" w:cs="Arial"/>
                <w:color w:val="000000"/>
                <w:kern w:val="0"/>
                <w:sz w:val="18"/>
                <w:szCs w:val="18"/>
              </w:rPr>
              <w:t>0</w:t>
            </w:r>
            <w:r>
              <w:rPr>
                <w:rFonts w:hint="eastAsia" w:ascii="仿宋_GB2312" w:hAnsi="宋体" w:eastAsia="仿宋_GB2312" w:cs="Arial"/>
                <w:color w:val="000000"/>
                <w:kern w:val="0"/>
                <w:sz w:val="18"/>
                <w:szCs w:val="18"/>
              </w:rPr>
              <w:t>%</w:t>
            </w:r>
          </w:p>
        </w:tc>
        <w:tc>
          <w:tcPr>
            <w:tcW w:w="170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8"/>
                <w:szCs w:val="18"/>
              </w:rPr>
            </w:pPr>
            <w:r>
              <w:rPr>
                <w:rFonts w:hint="eastAsia" w:ascii="仿宋_GB2312" w:hAnsi="宋体" w:eastAsia="仿宋_GB2312" w:cs="Arial"/>
                <w:color w:val="000000"/>
                <w:kern w:val="0"/>
                <w:sz w:val="18"/>
                <w:szCs w:val="18"/>
              </w:rPr>
              <w:t>≥9</w:t>
            </w:r>
            <w:r>
              <w:rPr>
                <w:rFonts w:ascii="仿宋_GB2312" w:hAnsi="宋体" w:eastAsia="仿宋_GB2312" w:cs="Arial"/>
                <w:color w:val="000000"/>
                <w:kern w:val="0"/>
                <w:sz w:val="18"/>
                <w:szCs w:val="18"/>
              </w:rPr>
              <w:t>0</w:t>
            </w:r>
            <w:r>
              <w:rPr>
                <w:rFonts w:hint="eastAsia" w:ascii="仿宋_GB2312" w:hAnsi="宋体" w:eastAsia="仿宋_GB2312" w:cs="Arial"/>
                <w:color w:val="000000"/>
                <w:kern w:val="0"/>
                <w:sz w:val="18"/>
                <w:szCs w:val="18"/>
              </w:rPr>
              <w:t>%</w:t>
            </w:r>
          </w:p>
        </w:tc>
        <w:tc>
          <w:tcPr>
            <w:tcW w:w="104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13"/>
                <w:szCs w:val="13"/>
              </w:rPr>
            </w:pPr>
            <w:r>
              <w:rPr>
                <w:rFonts w:hint="eastAsia" w:ascii="仿宋_GB2312" w:hAnsi="宋体" w:eastAsia="仿宋_GB2312" w:cs="Arial"/>
                <w:color w:val="000000"/>
                <w:kern w:val="0"/>
                <w:sz w:val="13"/>
                <w:szCs w:val="13"/>
              </w:rPr>
              <w:t>调查民众对失业保险政策的态度。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C80"/>
    <w:rsid w:val="00014A3E"/>
    <w:rsid w:val="00061B3F"/>
    <w:rsid w:val="00063D3A"/>
    <w:rsid w:val="00141816"/>
    <w:rsid w:val="001443D9"/>
    <w:rsid w:val="001576BC"/>
    <w:rsid w:val="002261DC"/>
    <w:rsid w:val="002A28C7"/>
    <w:rsid w:val="00343206"/>
    <w:rsid w:val="00386398"/>
    <w:rsid w:val="003B3400"/>
    <w:rsid w:val="004914FD"/>
    <w:rsid w:val="004D59F9"/>
    <w:rsid w:val="005307D2"/>
    <w:rsid w:val="0055295A"/>
    <w:rsid w:val="00571A5B"/>
    <w:rsid w:val="005765C0"/>
    <w:rsid w:val="005A6C1B"/>
    <w:rsid w:val="005B063B"/>
    <w:rsid w:val="005C3920"/>
    <w:rsid w:val="005C6A60"/>
    <w:rsid w:val="0067020D"/>
    <w:rsid w:val="00710A32"/>
    <w:rsid w:val="007A1AE4"/>
    <w:rsid w:val="007B17DA"/>
    <w:rsid w:val="007D1A92"/>
    <w:rsid w:val="007E1A20"/>
    <w:rsid w:val="00821083"/>
    <w:rsid w:val="00895102"/>
    <w:rsid w:val="008A10A9"/>
    <w:rsid w:val="008F3616"/>
    <w:rsid w:val="00943910"/>
    <w:rsid w:val="00954C80"/>
    <w:rsid w:val="00957754"/>
    <w:rsid w:val="00AC27DC"/>
    <w:rsid w:val="00BA04BC"/>
    <w:rsid w:val="00BD6E6A"/>
    <w:rsid w:val="00CF76C8"/>
    <w:rsid w:val="00D022DA"/>
    <w:rsid w:val="00D04925"/>
    <w:rsid w:val="00D422B0"/>
    <w:rsid w:val="00D73D0B"/>
    <w:rsid w:val="00DA4ED8"/>
    <w:rsid w:val="00DC309A"/>
    <w:rsid w:val="00DC3477"/>
    <w:rsid w:val="00E430F8"/>
    <w:rsid w:val="00EA15E6"/>
    <w:rsid w:val="00EA78AB"/>
    <w:rsid w:val="00ED1FA4"/>
    <w:rsid w:val="00ED74E0"/>
    <w:rsid w:val="00EF6160"/>
    <w:rsid w:val="00F06023"/>
    <w:rsid w:val="00F43E05"/>
    <w:rsid w:val="00F92CE1"/>
    <w:rsid w:val="04003C23"/>
    <w:rsid w:val="0A8430A5"/>
    <w:rsid w:val="0AE24082"/>
    <w:rsid w:val="0C37664F"/>
    <w:rsid w:val="10014FAA"/>
    <w:rsid w:val="1B356450"/>
    <w:rsid w:val="1C694603"/>
    <w:rsid w:val="288D3427"/>
    <w:rsid w:val="28C17575"/>
    <w:rsid w:val="2B4F3221"/>
    <w:rsid w:val="37A442EA"/>
    <w:rsid w:val="3A98065B"/>
    <w:rsid w:val="3BE178BA"/>
    <w:rsid w:val="3F2301EA"/>
    <w:rsid w:val="3F487C50"/>
    <w:rsid w:val="407517CC"/>
    <w:rsid w:val="4F675ED1"/>
    <w:rsid w:val="54284A7C"/>
    <w:rsid w:val="5FBB029F"/>
    <w:rsid w:val="62843025"/>
    <w:rsid w:val="666845B1"/>
    <w:rsid w:val="66BF255F"/>
    <w:rsid w:val="6E055AFE"/>
    <w:rsid w:val="724C122A"/>
    <w:rsid w:val="724E0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 w:type="character" w:customStyle="1" w:styleId="10">
    <w:name w:val="批注框文本 字符"/>
    <w:basedOn w:val="7"/>
    <w:link w:val="3"/>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2947</Words>
  <Characters>3148</Characters>
  <Lines>24</Lines>
  <Paragraphs>6</Paragraphs>
  <TotalTime>0</TotalTime>
  <ScaleCrop>false</ScaleCrop>
  <LinksUpToDate>false</LinksUpToDate>
  <CharactersWithSpaces>3219</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2024-11-13T07:56:00Z</cp:lastPrinted>
  <dcterms:modified xsi:type="dcterms:W3CDTF">2025-01-14T00:53:04Z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A47C5D84466944459C64BDB1DA87701B</vt:lpwstr>
  </property>
  <property fmtid="{D5CDD505-2E9C-101B-9397-08002B2CF9AE}" pid="4" name="KSOTemplateDocerSaveRecord">
    <vt:lpwstr>eyJoZGlkIjoiNjY2ZjE2NmRhYTgxYTk2Yzk2OTY4YjIyYjAzMzAwMzAiLCJ1c2VySWQiOiIxMDAxMDM1NTYwIn0=</vt:lpwstr>
  </property>
</Properties>
</file>