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360" w:after="240" w:line="640" w:lineRule="atLeast"/>
        <w:jc w:val="center"/>
        <w:rPr>
          <w:rFonts w:hint="eastAsia" w:ascii="黑体" w:eastAsia="黑体"/>
          <w:b w:val="0"/>
          <w:szCs w:val="44"/>
        </w:rPr>
      </w:pPr>
      <w:r>
        <w:rPr>
          <w:rFonts w:hint="eastAsia" w:ascii="黑体" w:eastAsia="黑体"/>
          <w:b w:val="0"/>
          <w:szCs w:val="44"/>
        </w:rPr>
        <w:t>部门项目申报表(含绩效目标)</w:t>
      </w:r>
    </w:p>
    <w:p>
      <w:pPr>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1"/>
          <w:szCs w:val="21"/>
          <w:lang w:val="en-US" w:eastAsia="zh-CN"/>
        </w:rPr>
        <w:t>申报日期</w:t>
      </w:r>
      <w:r>
        <w:rPr>
          <w:rFonts w:hint="eastAsia"/>
          <w:lang w:val="en-US" w:eastAsia="zh-CN"/>
        </w:rPr>
        <w:t xml:space="preserve">2024. 10                                                    </w:t>
      </w:r>
      <w:r>
        <w:rPr>
          <w:rFonts w:hint="eastAsia" w:ascii="仿宋_GB2312" w:hAnsi="仿宋_GB2312" w:eastAsia="仿宋_GB2312" w:cs="仿宋_GB2312"/>
          <w:lang w:val="en-US" w:eastAsia="zh-CN"/>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治理超限超载专项工资经费</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42011425064T000000104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蔡甸区交通运输局</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蔡甸区交通运输综合执法大队</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徐文斌</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13100655988</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补贴补助类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themeColor="text1"/>
                <w:kern w:val="0"/>
                <w:sz w:val="24"/>
                <w:szCs w:val="24"/>
                <w14:textFill>
                  <w14:solidFill>
                    <w14:schemeClr w14:val="tx1"/>
                  </w14:solidFill>
                </w14:textFill>
              </w:rPr>
            </w:pPr>
            <w:r>
              <w:rPr>
                <w:rFonts w:hint="eastAsia" w:ascii="仿宋_GB2312" w:hAnsi="Arial" w:eastAsia="仿宋_GB2312" w:cs="Arial"/>
                <w:color w:val="000000" w:themeColor="text1"/>
                <w:kern w:val="0"/>
                <w:sz w:val="24"/>
                <w:szCs w:val="24"/>
                <w:lang w:val="en-US" w:eastAsia="zh-CN"/>
                <w14:textFill>
                  <w14:solidFill>
                    <w14:schemeClr w14:val="tx1"/>
                  </w14:solidFill>
                </w14:textFill>
              </w:rPr>
              <w:t>2025</w:t>
            </w:r>
            <w:r>
              <w:rPr>
                <w:rFonts w:hint="eastAsia" w:ascii="仿宋_GB2312" w:hAnsi="Arial" w:eastAsia="仿宋_GB2312" w:cs="Arial"/>
                <w:color w:val="000000" w:themeColor="text1"/>
                <w:kern w:val="0"/>
                <w:sz w:val="24"/>
                <w:szCs w:val="24"/>
                <w14:textFill>
                  <w14:solidFill>
                    <w14:schemeClr w14:val="tx1"/>
                  </w14:solidFill>
                </w14:textFill>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themeColor="text1"/>
                <w:kern w:val="0"/>
                <w:sz w:val="24"/>
                <w:szCs w:val="24"/>
                <w14:textFill>
                  <w14:solidFill>
                    <w14:schemeClr w14:val="tx1"/>
                  </w14:solidFill>
                </w14:textFill>
              </w:rPr>
            </w:pPr>
            <w:r>
              <w:rPr>
                <w:rFonts w:hint="eastAsia" w:ascii="仿宋_GB2312" w:hAnsi="Arial" w:eastAsia="仿宋_GB2312" w:cs="Arial"/>
                <w:color w:val="000000" w:themeColor="text1"/>
                <w:kern w:val="0"/>
                <w:sz w:val="24"/>
                <w:szCs w:val="24"/>
                <w14:textFill>
                  <w14:solidFill>
                    <w14:schemeClr w14:val="tx1"/>
                  </w14:solidFill>
                </w14:textFill>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themeColor="text1"/>
                <w:kern w:val="0"/>
                <w:sz w:val="24"/>
                <w:szCs w:val="24"/>
                <w14:textFill>
                  <w14:solidFill>
                    <w14:schemeClr w14:val="tx1"/>
                  </w14:solidFill>
                </w14:textFill>
              </w:rPr>
            </w:pPr>
            <w:r>
              <w:rPr>
                <w:rFonts w:hint="eastAsia" w:ascii="仿宋_GB2312" w:hAnsi="Arial" w:eastAsia="仿宋_GB2312" w:cs="Arial"/>
                <w:color w:val="000000" w:themeColor="text1"/>
                <w:kern w:val="0"/>
                <w:sz w:val="24"/>
                <w:szCs w:val="24"/>
                <w:lang w:val="en-US" w:eastAsia="zh-CN"/>
                <w14:textFill>
                  <w14:solidFill>
                    <w14:schemeClr w14:val="tx1"/>
                  </w14:solidFill>
                </w14:textFill>
              </w:rPr>
              <w:t>2025</w:t>
            </w:r>
            <w:r>
              <w:rPr>
                <w:rFonts w:hint="eastAsia" w:ascii="仿宋_GB2312" w:hAnsi="Arial" w:eastAsia="仿宋_GB2312" w:cs="Arial"/>
                <w:color w:val="000000" w:themeColor="text1"/>
                <w:kern w:val="0"/>
                <w:sz w:val="24"/>
                <w:szCs w:val="24"/>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themeColor="text1"/>
                <w:kern w:val="0"/>
                <w:sz w:val="24"/>
                <w:szCs w:val="24"/>
                <w14:textFill>
                  <w14:solidFill>
                    <w14:schemeClr w14:val="tx1"/>
                  </w14:solidFill>
                </w14:textFill>
              </w:rPr>
            </w:pPr>
            <w:r>
              <w:rPr>
                <w:rFonts w:hint="eastAsia" w:ascii="仿宋_GB2312" w:hAnsi="Arial" w:eastAsia="仿宋_GB2312" w:cs="Arial"/>
                <w:color w:val="000000" w:themeColor="text1"/>
                <w:kern w:val="0"/>
                <w:sz w:val="24"/>
                <w:szCs w:val="24"/>
                <w14:textFill>
                  <w14:solidFill>
                    <w14:schemeClr w14:val="tx1"/>
                  </w14:solidFill>
                </w14:textFill>
              </w:rPr>
              <w:t>　根据武交【2019】80号武汉市交通运输局文件，关于印发《武汉市治理车辆超限超载联合执法常态化制度化实施细则》的通知，保障执法工作需要，明确职责并督促抓好落实</w:t>
            </w:r>
            <w:r>
              <w:rPr>
                <w:rFonts w:hint="eastAsia" w:ascii="仿宋_GB2312" w:hAnsi="Arial" w:eastAsia="仿宋_GB2312" w:cs="Arial"/>
                <w:color w:val="000000" w:themeColor="text1"/>
                <w:kern w:val="0"/>
                <w:sz w:val="24"/>
                <w:szCs w:val="24"/>
                <w:lang w:eastAsia="zh-CN"/>
                <w14:textFill>
                  <w14:solidFill>
                    <w14:schemeClr w14:val="tx1"/>
                  </w14:solidFill>
                </w14:textFill>
              </w:rPr>
              <w:t>；根据蔡甸区治理货车非法改装和超限超载工作领导小组单位职责分工的通知负责全区公路超限超载联合治理，实施“一超四罚”。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themeColor="text1"/>
                <w:kern w:val="0"/>
                <w:sz w:val="24"/>
                <w:szCs w:val="24"/>
                <w14:textFill>
                  <w14:solidFill>
                    <w14:schemeClr w14:val="tx1"/>
                  </w14:solidFill>
                </w14:textFill>
              </w:rPr>
            </w:pPr>
            <w:r>
              <w:rPr>
                <w:rFonts w:hint="eastAsia" w:ascii="仿宋_GB2312" w:hAnsi="Arial" w:eastAsia="仿宋_GB2312" w:cs="Arial"/>
                <w:color w:val="000000" w:themeColor="text1"/>
                <w:kern w:val="0"/>
                <w:sz w:val="24"/>
                <w:szCs w:val="24"/>
                <w14:textFill>
                  <w14:solidFill>
                    <w14:schemeClr w14:val="tx1"/>
                  </w14:solidFill>
                </w14:textFill>
              </w:rPr>
              <w:t>　</w:t>
            </w:r>
            <w:r>
              <w:rPr>
                <w:rFonts w:hint="eastAsia" w:ascii="仿宋_GB2312" w:hAnsi="Arial" w:eastAsia="仿宋_GB2312" w:cs="Arial"/>
                <w:color w:val="000000" w:themeColor="text1"/>
                <w:kern w:val="0"/>
                <w:sz w:val="24"/>
                <w:szCs w:val="24"/>
                <w:lang w:eastAsia="zh-CN"/>
                <w14:textFill>
                  <w14:solidFill>
                    <w14:schemeClr w14:val="tx1"/>
                  </w14:solidFill>
                </w14:textFill>
              </w:rPr>
              <w:t>为深入贯彻落实省委省政府工作要求，推动治理货车非法改装和超限超载工作，切实保护人民群众生命财产安全，保障公路桥梁及附属设施安全和畅通，结合我区工作实际，保障工作落实。</w:t>
            </w:r>
            <w:r>
              <w:rPr>
                <w:rFonts w:hint="eastAsia" w:ascii="仿宋_GB2312" w:hAnsi="Arial" w:eastAsia="仿宋_GB2312" w:cs="Arial"/>
                <w:color w:val="000000" w:themeColor="text1"/>
                <w:kern w:val="0"/>
                <w:sz w:val="24"/>
                <w:szCs w:val="24"/>
                <w14:textFill>
                  <w14:solidFill>
                    <w14:schemeClr w14:val="tx1"/>
                  </w14:solidFill>
                </w14:textFill>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2024年10万</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10</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10</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10</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lang w:eastAsia="zh-CN"/>
              </w:rPr>
              <w:t>治理超限超载</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联合执法及宣传经费</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其他商品服务支出</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10</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联合执法常态化；宣传资料印刷等</w:t>
            </w: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治理超限超载</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保障执法工作需要，明确职责并督促抓好落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项目立项</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立项程序规范性</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项目设立程序符合要求</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资金投入</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资金分配合理性</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资金分配合理，与劳务公司签订购买服务合同</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组织实施</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制度执行有效性</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项目实施的人员、设备、落实到位，严格文明执法</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项目效果</w:t>
            </w:r>
          </w:p>
          <w:p>
            <w:pPr>
              <w:widowControl/>
              <w:snapToGrid w:val="0"/>
              <w:jc w:val="left"/>
              <w:rPr>
                <w:rFonts w:ascii="仿宋_GB2312" w:hAnsi="宋体" w:eastAsia="仿宋_GB2312" w:cs="Arial"/>
                <w:color w:val="000000"/>
                <w:kern w:val="0"/>
                <w:sz w:val="24"/>
                <w:szCs w:val="24"/>
                <w:lang w:val="en-US" w:eastAsia="zh-CN" w:bidi="ar-SA"/>
              </w:rPr>
            </w:pP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项目效果</w:t>
            </w:r>
          </w:p>
          <w:p>
            <w:pPr>
              <w:widowControl/>
              <w:snapToGrid w:val="0"/>
              <w:jc w:val="left"/>
              <w:rPr>
                <w:rFonts w:ascii="仿宋_GB2312" w:hAnsi="宋体" w:eastAsia="仿宋_GB2312" w:cs="Arial"/>
                <w:color w:val="000000"/>
                <w:kern w:val="0"/>
                <w:sz w:val="24"/>
                <w:szCs w:val="24"/>
                <w:lang w:val="en-US" w:eastAsia="zh-CN" w:bidi="ar-SA"/>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项目效果</w:t>
            </w:r>
          </w:p>
          <w:p>
            <w:pPr>
              <w:widowControl/>
              <w:snapToGrid w:val="0"/>
              <w:jc w:val="left"/>
              <w:rPr>
                <w:rFonts w:ascii="仿宋_GB2312" w:hAnsi="宋体" w:eastAsia="仿宋_GB2312" w:cs="Arial"/>
                <w:color w:val="000000"/>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产出指标</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产出数量</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维护管理全区覆盖率</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auto"/>
                <w:kern w:val="0"/>
                <w:sz w:val="24"/>
                <w:szCs w:val="24"/>
                <w:lang w:val="en-US" w:eastAsia="zh-CN" w:bidi="ar-SA"/>
              </w:rPr>
            </w:pP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产出质量</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投诉处理回复率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auto"/>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auto"/>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项目效果</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社会效益</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提升城市形象</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　提升</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满意度</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服务对象或受益群体满意度</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群众出行满意度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auto"/>
                <w:kern w:val="0"/>
                <w:sz w:val="24"/>
                <w:szCs w:val="24"/>
                <w:lang w:val="en-US" w:eastAsia="zh-CN" w:bidi="ar-SA"/>
              </w:rPr>
            </w:pPr>
            <w:r>
              <w:rPr>
                <w:rFonts w:hint="eastAsia" w:ascii="仿宋_GB2312" w:hAnsi="宋体" w:eastAsia="仿宋_GB2312" w:cs="Arial"/>
                <w:color w:val="auto"/>
                <w:kern w:val="0"/>
                <w:sz w:val="24"/>
                <w:szCs w:val="24"/>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AE6F33"/>
    <w:rsid w:val="5B1D0D31"/>
    <w:rsid w:val="62551CC0"/>
    <w:rsid w:val="66BF25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2024-11-20T01:14:06Z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A47C5D84466944459C64BDB1DA87701B</vt:lpwstr>
  </property>
</Properties>
</file>