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A185C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45CACD25"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3"/>
        <w:tblW w:w="8886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49"/>
        <w:gridCol w:w="1150"/>
        <w:gridCol w:w="753"/>
        <w:gridCol w:w="900"/>
        <w:gridCol w:w="150"/>
        <w:gridCol w:w="690"/>
        <w:gridCol w:w="19"/>
        <w:gridCol w:w="727"/>
        <w:gridCol w:w="20"/>
        <w:gridCol w:w="1124"/>
        <w:gridCol w:w="26"/>
        <w:gridCol w:w="1029"/>
      </w:tblGrid>
      <w:tr w14:paraId="1AC10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548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BDC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汉蔡高速蔡甸至琴台段小车通行费　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10E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C2A71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064T000000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39F4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924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BB98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交通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运输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局　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2AE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6DF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交通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运输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局　</w:t>
            </w:r>
          </w:p>
        </w:tc>
      </w:tr>
      <w:tr w14:paraId="0850A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0800E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CC995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陈超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02C9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F468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69810467</w:t>
            </w:r>
          </w:p>
        </w:tc>
      </w:tr>
      <w:tr w14:paraId="252E6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B62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AD68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19420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EB3A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4E29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补贴补助类</w:t>
            </w:r>
          </w:p>
        </w:tc>
      </w:tr>
      <w:tr w14:paraId="35417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50CA4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6BCFD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5A19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87F87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 w14:paraId="3F131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6E1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3F51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区人民政府与湖北省汉蔡高速公路有限公司、湖北省高速运输厅京珠高速公路管理处、湖北高速公路联网收费中心签订合同。</w:t>
            </w:r>
          </w:p>
        </w:tc>
      </w:tr>
      <w:tr w14:paraId="2AC4E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071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项目实施方案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79AD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区人民政府与湖北省汉蔡高速公路有限公司、湖北省高速运输厅京珠高速公路管理处、湖北高速公路联网收费中心顺利完成合同签订。对7座以下小型客车免除通行费。</w:t>
            </w:r>
          </w:p>
        </w:tc>
      </w:tr>
      <w:tr w14:paraId="7464A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C39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0BC2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6A0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1F677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31852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78E4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E99C33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2023年预算6000万元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2024年预算申报3000万元，2025年预算申报2000万元</w:t>
            </w:r>
          </w:p>
        </w:tc>
      </w:tr>
      <w:tr w14:paraId="78E50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FE2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643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722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6941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68D0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F7A3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51808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1C6D3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F31B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51983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5921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CCDA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EB7E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76E8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871EE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6D3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1405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417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F7FA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09FB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7886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0DE9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8A3F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4042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7AC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6AEE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BC6F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FE5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8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5156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B779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DBE4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A41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160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D82C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BB6C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06B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BC5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C125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7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D56B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E892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F9EF4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57B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汉蔡高速小车通行费　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2AB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对7座以下小型客车免除通行费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3E83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其他对企业补助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62D2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025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琴台、蔡甸点对点区间免费通行里程12.935公里，其中汉蔡段12.209公里、京珠段0.726公里。根据《湖北省高速公路车辆通行费客车收费标准》，汉蔡高速1类客车通行收费标准0.76元/公里，京珠高速1类客车通行费收费标准为0.4元/公里，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全路段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1类客车通行收费标准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9.56924元。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ETC车辆给予应缴通行费5%的基本优惠。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</w:rPr>
              <w:t>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</w:rPr>
              <w:t>年1月-2024年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</w:rPr>
              <w:t>月车流量合计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lang w:val="en-US" w:eastAsia="zh-CN"/>
              </w:rPr>
              <w:t>7765053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</w:rPr>
              <w:t>辆，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lang w:eastAsia="zh-CN"/>
              </w:rPr>
              <w:t>合计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</w:rPr>
              <w:t>金额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lang w:val="en-US" w:eastAsia="zh-CN"/>
              </w:rPr>
              <w:t>70590372.98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</w:rPr>
              <w:t xml:space="preserve">元。                   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360B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6452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0B80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428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86F81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7161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E47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E21C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4DB7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32F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8DA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A31A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5E41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B21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C6E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DFA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3C1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09F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0906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654F0A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359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947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6F0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A9B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4301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03F5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91A8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8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E711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EC4E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79EA0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62211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8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62A1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0087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849C83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CD1997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8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EAF1EC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21F1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BEE1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2B25A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D3D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89F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1CB6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461EB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汉蔡高速蔡甸至琴台段小车通行费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86CC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项目实施满足蔡甸区与中心城区“零障碍”通行，节约了小车通行成本，带动蔡甸旅游业发展，加快了投资者的引进，促进房地产业发展，增强了蔡甸区人民幸福感和获得感。</w:t>
            </w:r>
          </w:p>
        </w:tc>
      </w:tr>
      <w:tr w14:paraId="48A28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47D2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BBBA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F66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D99D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13AE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DD8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4229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8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F542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4819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DCB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F4E7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62432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3B36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08E9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53D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04A0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7AED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1100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471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6419E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1C667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汉蔡高速蔡甸至琴台段小车通行费　</w:t>
            </w: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6D4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项目立项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1061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立项程序规范性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395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项目设立申请程序符合要求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9E5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682C9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16B8A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80AD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C8A0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资金投入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30D2C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预算编制科学性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50F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项目预算内容与项目内容相匹配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580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1F22A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4FB79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09C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3DF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资金管理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368C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资金使用合规性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F66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资金分配额度与补助单位或地方实际情况相适应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71D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34E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0BE4E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3D1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87B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组织实施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659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制度执行有效性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83D7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项目实施人员条件、场地设施、信息支撑等落实到位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7072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6885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02022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24AE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25B2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  <w:p w14:paraId="15F886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FBB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1BB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全年免费通行小车辆数完成率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275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3BC03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035B8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DEC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F88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98F6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质量达标率</w:t>
            </w:r>
          </w:p>
          <w:p w14:paraId="5A55CD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9B3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汉蔡高速小车通行费补贴发放准确率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A0ED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396A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53CF8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220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0C8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867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ACB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汉蔡高速小车通行费补贴应发尽发率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F82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B05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2783F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9FB5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E070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3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D92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C63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汉蔡高速小车通行费减免率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9139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AD20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31F8A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829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6DE1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D84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完成及时性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B9A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汉蔡高速小车通行费补贴资金拨付完成及时率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DBE42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4E8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7F8C4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896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BC2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产出成本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8F32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成本节约率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D40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补贴资金成本节约率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099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90B9F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71C54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702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AFA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903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01D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实施效益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4FC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可持续影响：带动蔡甸区房地产业、投资。旅游发展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A318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4649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2B525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D3C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ABF0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903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075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336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9B94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98%</w:t>
            </w:r>
          </w:p>
        </w:tc>
        <w:tc>
          <w:tcPr>
            <w:tcW w:w="21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10EB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7E7CD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2395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0E39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D17F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8CF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A9EF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80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A64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2B63BB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C1B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B13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46568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A0D5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749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DF1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A891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BA9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A8B7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AA1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F118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098E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045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汉蔡高速蔡甸至琴台段小车通行费　</w:t>
            </w:r>
          </w:p>
        </w:tc>
        <w:tc>
          <w:tcPr>
            <w:tcW w:w="1149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7BB6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18B97B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718D57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521343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2EDAA8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72DDD2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5B6888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5D47874F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BE62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543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全年免费通行小车辆数完成率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031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10A5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216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E4A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7A15B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54B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3CD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815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E18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汉蔡高速小车通行费补贴应发尽发率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34C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6DA2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2619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EFE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1084B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2243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DBD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03C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质量达标率</w:t>
            </w:r>
          </w:p>
          <w:p w14:paraId="5D7377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2E3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汉蔡高速小车通行费补贴发放准确率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FC2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97A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0C7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97AC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46C7E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D384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0AD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B17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B195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汉蔡高速小车通行费补贴资金拨付完成及时率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D28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EC8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823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A17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3C16B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4C3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C350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097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33C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EF3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加快了投资者的引进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B43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促进发展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F92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促进发展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15FD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促进发展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6EA0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7FE9D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DC9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BF6A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177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653E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促进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蔡甸区房地产业和旅游发展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E84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促进发展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BBD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促进发展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EA9D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促进发展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DCE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6D3BA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9635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7D71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F9EE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33C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BB8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满足蔡甸区与中心城区“零障碍”通行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241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区位感增强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E44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区位感增强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549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区位感增强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C0D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4B678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72CF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4E7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848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33CC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2086C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增强了蔡甸区人民幸福感和获得感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433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增强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5FD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增强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CCE9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增强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608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445FB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793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55DE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F7F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233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B4A7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33CC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6BF2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33CC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589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33CC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95%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32B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行业标准</w:t>
            </w:r>
          </w:p>
        </w:tc>
      </w:tr>
      <w:tr w14:paraId="1D1DA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FB6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E3E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07D4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6E6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82DCC">
            <w:pPr>
              <w:widowControl/>
              <w:snapToGrid w:val="0"/>
              <w:jc w:val="left"/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3C7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D29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AA53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7133EB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ZTBjZDhkNmUxYjg2OGNmYTk3Yzk1MmNlZmY5NjIifQ=="/>
  </w:docVars>
  <w:rsids>
    <w:rsidRoot w:val="004D536E"/>
    <w:rsid w:val="004D536E"/>
    <w:rsid w:val="00B11BBC"/>
    <w:rsid w:val="00CA6BFF"/>
    <w:rsid w:val="00D31A6C"/>
    <w:rsid w:val="00F8283B"/>
    <w:rsid w:val="024D0FA5"/>
    <w:rsid w:val="02C73825"/>
    <w:rsid w:val="162662CA"/>
    <w:rsid w:val="25F8629E"/>
    <w:rsid w:val="2CF355AC"/>
    <w:rsid w:val="32702CC9"/>
    <w:rsid w:val="3322492C"/>
    <w:rsid w:val="37ED358D"/>
    <w:rsid w:val="38343600"/>
    <w:rsid w:val="390376CB"/>
    <w:rsid w:val="3958230E"/>
    <w:rsid w:val="39D454EF"/>
    <w:rsid w:val="4492210C"/>
    <w:rsid w:val="4DE753D0"/>
    <w:rsid w:val="53A217B5"/>
    <w:rsid w:val="54EE545D"/>
    <w:rsid w:val="576572C4"/>
    <w:rsid w:val="5D387A64"/>
    <w:rsid w:val="5E676A36"/>
    <w:rsid w:val="612953E3"/>
    <w:rsid w:val="64764B06"/>
    <w:rsid w:val="66BF255F"/>
    <w:rsid w:val="6B6726BB"/>
    <w:rsid w:val="6B757FC6"/>
    <w:rsid w:val="6BFF31F8"/>
    <w:rsid w:val="72723DF4"/>
    <w:rsid w:val="7BCF7831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1420</Words>
  <Characters>1611</Characters>
  <Lines>13</Lines>
  <Paragraphs>3</Paragraphs>
  <TotalTime>23</TotalTime>
  <ScaleCrop>false</ScaleCrop>
  <LinksUpToDate>false</LinksUpToDate>
  <CharactersWithSpaces>1764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2024-11-26T08:20:00Z</cp:lastPrinted>
  <dcterms:modified xsi:type="dcterms:W3CDTF">2025-01-02T07:34:14Z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eyJoZGlkIjoiOTZmZTBjZDhkNmUxYjg2OGNmYTk3Yzk1MmNlZmY5NjIifQ==</vt:lpwstr>
  </property>
</Properties>
</file>