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76" w:tblpY="-802"/>
        <w:tblOverlap w:val="never"/>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765"/>
        <w:gridCol w:w="855"/>
        <w:gridCol w:w="2332"/>
        <w:gridCol w:w="1262"/>
        <w:gridCol w:w="1225"/>
        <w:gridCol w:w="1043"/>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063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bookmarkStart w:id="0" w:name="_Toc9002144"/>
            <w:r>
              <w:rPr>
                <w:rFonts w:hint="eastAsia" w:ascii="宋体" w:hAnsi="宋体" w:eastAsia="宋体" w:cs="宋体"/>
                <w:i w:val="0"/>
                <w:iCs w:val="0"/>
                <w:color w:val="000000"/>
                <w:kern w:val="0"/>
                <w:sz w:val="40"/>
                <w:szCs w:val="40"/>
                <w:u w:val="none"/>
                <w:lang w:val="en-US" w:eastAsia="zh-CN" w:bidi="ar"/>
              </w:rPr>
              <w:t>武汉市蔡甸区财政局规范化财政所建设及运行维护经费绩效目标报告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5" w:hRule="atLeast"/>
        </w:trPr>
        <w:tc>
          <w:tcPr>
            <w:tcW w:w="1063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一、项目绩效自评表</w:t>
            </w: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6"/>
                <w:szCs w:val="36"/>
                <w:u w:val="none"/>
              </w:rPr>
            </w:pPr>
          </w:p>
        </w:tc>
        <w:tc>
          <w:tcPr>
            <w:tcW w:w="8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6"/>
                <w:szCs w:val="36"/>
                <w:u w:val="none"/>
              </w:rPr>
            </w:pPr>
          </w:p>
        </w:tc>
        <w:tc>
          <w:tcPr>
            <w:tcW w:w="23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4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专项（项目）名称</w:t>
            </w:r>
          </w:p>
        </w:tc>
        <w:tc>
          <w:tcPr>
            <w:tcW w:w="70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武汉市蔡甸区财政局规范化财政所建设及运行维护经费绩效目标自评表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武汉市蔡甸区财政局</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项目资金（万元）</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全年预算数（A）</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其中：预算内资金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其他资金（包括结转结余）</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3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3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基层财政所硬件改造、档案、文明、党建建设、推进财政支农资金整合统筹使用，落实精准扶贫精准脱贫各项指标，进一步完善社会保障体系。</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3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符合省市区级规范化财政所标准、档案、文明、党建检查合格，专项资金检查合格。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考核合格</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考核合格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预算执行控制率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3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对财政工作的影响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规范、强化财政工作</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规范、强化财政工作</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3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90%以上</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79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pPr>
        <w:pStyle w:val="2"/>
        <w:keepNext w:val="0"/>
        <w:keepLines w:val="0"/>
        <w:widowControl/>
        <w:adjustRightInd w:val="0"/>
        <w:snapToGrid w:val="0"/>
        <w:spacing w:line="360" w:lineRule="auto"/>
        <w:ind w:left="0" w:leftChars="0" w:firstLine="413" w:firstLineChars="147"/>
        <w:jc w:val="center"/>
      </w:pPr>
    </w:p>
    <w:p>
      <w:pPr>
        <w:pStyle w:val="2"/>
        <w:keepNext w:val="0"/>
        <w:keepLines w:val="0"/>
        <w:widowControl/>
        <w:adjustRightInd w:val="0"/>
        <w:snapToGrid w:val="0"/>
        <w:spacing w:line="360" w:lineRule="auto"/>
        <w:ind w:left="0" w:leftChars="0" w:firstLine="472" w:firstLineChars="147"/>
        <w:jc w:val="center"/>
        <w:rPr>
          <w:rFonts w:asciiTheme="minorEastAsia" w:hAnsiTheme="minorEastAsia" w:eastAsiaTheme="minorEastAsia"/>
          <w:snapToGrid w:val="0"/>
          <w:color w:val="000000"/>
          <w:kern w:val="0"/>
          <w:sz w:val="32"/>
        </w:rPr>
      </w:pPr>
      <w:r>
        <w:rPr>
          <w:rFonts w:hint="eastAsia" w:asciiTheme="minorEastAsia" w:hAnsiTheme="minorEastAsia" w:eastAsiaTheme="minorEastAsia"/>
          <w:snapToGrid w:val="0"/>
          <w:color w:val="000000"/>
          <w:kern w:val="0"/>
          <w:sz w:val="32"/>
        </w:rPr>
        <w:t>二、项目概况</w:t>
      </w:r>
      <w:bookmarkEnd w:id="0"/>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蔡甸区财政局规范化财政所建设及运行维护经费工作主要内容如下：</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cs="仿宋_GB2312" w:asciiTheme="minorEastAsia" w:hAnsiTheme="minorEastAsia" w:eastAsiaTheme="minorEastAsia"/>
          <w:snapToGrid w:val="0"/>
          <w:color w:val="000000"/>
          <w:kern w:val="0"/>
          <w:sz w:val="32"/>
          <w:szCs w:val="32"/>
        </w:rPr>
        <w:t>1、</w:t>
      </w:r>
      <w:r>
        <w:rPr>
          <w:rFonts w:hint="eastAsia" w:cs="仿宋_GB2312" w:asciiTheme="minorEastAsia" w:hAnsiTheme="minorEastAsia" w:eastAsiaTheme="minorEastAsia"/>
          <w:snapToGrid w:val="0"/>
          <w:color w:val="000000"/>
          <w:kern w:val="0"/>
          <w:sz w:val="32"/>
          <w:szCs w:val="32"/>
        </w:rPr>
        <w:t>推进</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基层财政所硬件改造、档案、文明、党建建设完成。</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cs="仿宋_GB2312" w:asciiTheme="minorEastAsia" w:hAnsiTheme="minorEastAsia" w:eastAsiaTheme="minorEastAsia"/>
          <w:snapToGrid w:val="0"/>
          <w:color w:val="000000"/>
          <w:kern w:val="0"/>
          <w:sz w:val="32"/>
          <w:szCs w:val="32"/>
        </w:rPr>
        <w:t>2、</w:t>
      </w:r>
      <w:r>
        <w:rPr>
          <w:rFonts w:hint="eastAsia" w:cs="仿宋_GB2312" w:asciiTheme="minorEastAsia" w:hAnsiTheme="minorEastAsia" w:eastAsiaTheme="minorEastAsia"/>
          <w:snapToGrid w:val="0"/>
          <w:color w:val="000000"/>
          <w:kern w:val="0"/>
          <w:sz w:val="32"/>
          <w:szCs w:val="32"/>
        </w:rPr>
        <w:t>推进财政支农资金整合统筹使用，落实精准扶贫精准脱贫各项指标，进一步完善社会保障体系。</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cs="仿宋_GB2312" w:asciiTheme="minorEastAsia" w:hAnsiTheme="minorEastAsia" w:eastAsiaTheme="minorEastAsia"/>
          <w:snapToGrid w:val="0"/>
          <w:color w:val="000000"/>
          <w:kern w:val="0"/>
          <w:sz w:val="32"/>
          <w:szCs w:val="32"/>
        </w:rPr>
        <w:t>3、</w:t>
      </w:r>
      <w:r>
        <w:rPr>
          <w:rFonts w:hint="eastAsia" w:cs="仿宋_GB2312" w:asciiTheme="minorEastAsia" w:hAnsiTheme="minorEastAsia" w:eastAsiaTheme="minorEastAsia"/>
          <w:snapToGrid w:val="0"/>
          <w:color w:val="000000"/>
          <w:kern w:val="0"/>
          <w:sz w:val="32"/>
          <w:szCs w:val="32"/>
        </w:rPr>
        <w:t>建立规范化的标准、档案、文明、党建等管理制度，</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省市区级规范化财政所标准、档案、文明、党建检查合格，专项资金检查合格。</w:t>
      </w:r>
    </w:p>
    <w:p>
      <w:pPr>
        <w:pStyle w:val="2"/>
        <w:keepNext w:val="0"/>
        <w:keepLines w:val="0"/>
        <w:widowControl/>
        <w:adjustRightInd w:val="0"/>
        <w:snapToGrid w:val="0"/>
        <w:spacing w:beforeLines="50" w:line="360" w:lineRule="auto"/>
        <w:ind w:left="0" w:leftChars="0" w:firstLine="643" w:firstLineChars="200"/>
        <w:rPr>
          <w:rFonts w:asciiTheme="minorEastAsia" w:hAnsiTheme="minorEastAsia" w:eastAsiaTheme="minorEastAsia"/>
          <w:snapToGrid w:val="0"/>
          <w:color w:val="000000"/>
          <w:kern w:val="0"/>
          <w:sz w:val="32"/>
        </w:rPr>
      </w:pPr>
      <w:bookmarkStart w:id="1" w:name="_Toc9002147"/>
      <w:r>
        <w:rPr>
          <w:rFonts w:hint="eastAsia" w:asciiTheme="minorEastAsia" w:hAnsiTheme="minorEastAsia" w:eastAsiaTheme="minorEastAsia"/>
          <w:snapToGrid w:val="0"/>
          <w:color w:val="000000"/>
          <w:kern w:val="0"/>
          <w:sz w:val="32"/>
        </w:rPr>
        <w:t>三、绩效自评工作开展情况</w:t>
      </w:r>
      <w:bookmarkEnd w:id="1"/>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2" w:name="_Toc9002148"/>
      <w:r>
        <w:rPr>
          <w:rFonts w:hint="eastAsia" w:asciiTheme="minorEastAsia" w:hAnsiTheme="minorEastAsia" w:eastAsiaTheme="minorEastAsia"/>
          <w:snapToGrid w:val="0"/>
          <w:color w:val="000000"/>
          <w:kern w:val="0"/>
          <w:sz w:val="32"/>
        </w:rPr>
        <w:t>（一）前期准备工作</w:t>
      </w:r>
      <w:bookmarkEnd w:id="2"/>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在明确评价目的、评价对象、范围及项目内容的基础上，根据绩效评价规范的要求和本次评价的实际情况，拟订了绩效评价工作方案，组成本项目评价工作组。项目组结合财政部《财政支出绩效评价管理暂行办法》、省财政厅《湖北省省级财政项目资金绩效评价实施暂行办法》等文件，结合项目的实际情况，参照湖北省省级财政项目资金绩效评价指标框架，制定了绩效评价方案。</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3" w:name="_Toc9002149"/>
      <w:r>
        <w:rPr>
          <w:rFonts w:hint="eastAsia" w:asciiTheme="minorEastAsia" w:hAnsiTheme="minorEastAsia" w:eastAsiaTheme="minorEastAsia"/>
          <w:snapToGrid w:val="0"/>
          <w:color w:val="000000"/>
          <w:kern w:val="0"/>
          <w:sz w:val="32"/>
        </w:rPr>
        <w:t>（二）组织实施过程内容</w:t>
      </w:r>
      <w:bookmarkEnd w:id="3"/>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按照绩效评价规范要求，绩效评价工作组在搜集准备了有关资料，对所有资料进行核实、验证。通过实地调研、集中座谈、随机抽样等方式，对被评价项目的相关资料信息进行收集、整理、分析，以评价该项目在项目决策、项目管理上是否依法依规，在项目绩效方面是否高效可持续。</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一是收集了项目投入、管理、产出及效果相关资料；</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二是通过与项目实施人员、财务人员进行面访座谈，介绍取得的成果和存在的问题，针对存在的问题进行探讨，并给出相关建议；</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三是查阅账本、凭证，包括单位的总账、明细账及辅助账等进行核查，对项目的资金来源及去向进行分类整理。</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4" w:name="_Toc9002150"/>
      <w:r>
        <w:rPr>
          <w:rFonts w:hint="eastAsia" w:asciiTheme="minorEastAsia" w:hAnsiTheme="minorEastAsia" w:eastAsiaTheme="minorEastAsia"/>
          <w:snapToGrid w:val="0"/>
          <w:color w:val="000000"/>
          <w:kern w:val="0"/>
          <w:sz w:val="32"/>
        </w:rPr>
        <w:t>四、综合评价结论</w:t>
      </w:r>
      <w:bookmarkEnd w:id="4"/>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本次项目绩效评价为“良好”。本项目管理有效，社会效益明显，服务对象满意度较高。项目实施有相应的资金保障、人员保障和制度保障，项目建设能够形成可持续的影响。</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5" w:name="_Toc9002151"/>
      <w:r>
        <w:rPr>
          <w:rFonts w:hint="eastAsia" w:asciiTheme="minorEastAsia" w:hAnsiTheme="minorEastAsia" w:eastAsiaTheme="minorEastAsia"/>
          <w:snapToGrid w:val="0"/>
          <w:color w:val="000000"/>
          <w:kern w:val="0"/>
          <w:sz w:val="32"/>
        </w:rPr>
        <w:t>五、资金投入和使用情况</w:t>
      </w:r>
      <w:bookmarkEnd w:id="5"/>
    </w:p>
    <w:p>
      <w:pPr>
        <w:pStyle w:val="2"/>
        <w:keepNext w:val="0"/>
        <w:keepLines w:val="0"/>
        <w:widowControl/>
        <w:adjustRightInd w:val="0"/>
        <w:snapToGrid w:val="0"/>
        <w:spacing w:line="360" w:lineRule="auto"/>
        <w:ind w:leftChars="0"/>
        <w:rPr>
          <w:rFonts w:asciiTheme="minorEastAsia" w:hAnsiTheme="minorEastAsia" w:eastAsiaTheme="minorEastAsia"/>
          <w:snapToGrid w:val="0"/>
          <w:color w:val="000000"/>
          <w:kern w:val="0"/>
          <w:sz w:val="32"/>
        </w:rPr>
      </w:pPr>
      <w:bookmarkStart w:id="6" w:name="_Toc9002152"/>
      <w:r>
        <w:rPr>
          <w:rFonts w:hint="eastAsia" w:asciiTheme="minorEastAsia" w:hAnsiTheme="minorEastAsia" w:eastAsiaTheme="minorEastAsia"/>
          <w:snapToGrid w:val="0"/>
          <w:color w:val="000000"/>
          <w:kern w:val="0"/>
          <w:sz w:val="32"/>
        </w:rPr>
        <w:t>（一）资金计划投入情况</w:t>
      </w:r>
      <w:bookmarkEnd w:id="6"/>
    </w:p>
    <w:p>
      <w:pPr>
        <w:widowControl/>
        <w:adjustRightInd w:val="0"/>
        <w:snapToGrid w:val="0"/>
        <w:spacing w:line="360" w:lineRule="auto"/>
        <w:ind w:firstLine="640" w:firstLineChars="200"/>
        <w:rPr>
          <w:rFonts w:cs="宋体" w:asciiTheme="minorEastAsia" w:hAnsiTheme="minorEastAsia" w:eastAsiaTheme="minorEastAsia"/>
          <w:b/>
          <w:bCs/>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度蔡甸区财政局规范化财政所建设及运行维护经费</w:t>
      </w:r>
      <w:r>
        <w:rPr>
          <w:rFonts w:hint="eastAsia" w:asciiTheme="minorEastAsia" w:hAnsiTheme="minorEastAsia" w:eastAsiaTheme="minorEastAsia"/>
          <w:snapToGrid w:val="0"/>
          <w:color w:val="000000"/>
          <w:kern w:val="0"/>
          <w:sz w:val="32"/>
          <w:szCs w:val="32"/>
        </w:rPr>
        <w:t>的来源为区级财政拨款，根据蔡甸区财政局《</w:t>
      </w:r>
      <w:r>
        <w:rPr>
          <w:rFonts w:asciiTheme="minorEastAsia" w:hAnsiTheme="minorEastAsia" w:eastAsiaTheme="minorEastAsia"/>
          <w:snapToGrid w:val="0"/>
          <w:color w:val="000000"/>
          <w:kern w:val="0"/>
          <w:sz w:val="32"/>
          <w:szCs w:val="32"/>
        </w:rPr>
        <w:t>蔡甸区财政局关于编制</w:t>
      </w:r>
      <w:r>
        <w:rPr>
          <w:rFonts w:hint="eastAsia" w:asciiTheme="minorEastAsia" w:hAnsiTheme="minorEastAsia" w:eastAsiaTheme="minorEastAsia"/>
          <w:snapToGrid w:val="0"/>
          <w:color w:val="000000"/>
          <w:kern w:val="0"/>
          <w:sz w:val="32"/>
          <w:szCs w:val="32"/>
          <w:lang w:eastAsia="zh-CN"/>
        </w:rPr>
        <w:t>2021年</w:t>
      </w:r>
      <w:r>
        <w:rPr>
          <w:rFonts w:asciiTheme="minorEastAsia" w:hAnsiTheme="minorEastAsia" w:eastAsiaTheme="minorEastAsia"/>
          <w:snapToGrid w:val="0"/>
          <w:color w:val="000000"/>
          <w:kern w:val="0"/>
          <w:sz w:val="32"/>
          <w:szCs w:val="32"/>
        </w:rPr>
        <w:t>财政预算的通知</w:t>
      </w:r>
      <w:r>
        <w:rPr>
          <w:rFonts w:hint="eastAsia" w:asciiTheme="minorEastAsia" w:hAnsiTheme="minorEastAsia" w:eastAsiaTheme="minorEastAsia"/>
          <w:snapToGrid w:val="0"/>
          <w:color w:val="000000"/>
          <w:kern w:val="0"/>
          <w:sz w:val="32"/>
          <w:szCs w:val="32"/>
        </w:rPr>
        <w:t>》，</w:t>
      </w:r>
      <w:r>
        <w:rPr>
          <w:rFonts w:hint="eastAsia" w:asciiTheme="minorEastAsia" w:hAnsiTheme="minorEastAsia" w:eastAsiaTheme="minorEastAsia"/>
          <w:snapToGrid w:val="0"/>
          <w:color w:val="000000"/>
          <w:kern w:val="0"/>
          <w:sz w:val="32"/>
          <w:szCs w:val="32"/>
          <w:lang w:eastAsia="zh-CN"/>
        </w:rPr>
        <w:t>2021年</w:t>
      </w:r>
      <w:r>
        <w:rPr>
          <w:rFonts w:hint="eastAsia" w:asciiTheme="minorEastAsia" w:hAnsiTheme="minorEastAsia" w:eastAsiaTheme="minorEastAsia"/>
          <w:snapToGrid w:val="0"/>
          <w:color w:val="000000"/>
          <w:kern w:val="0"/>
          <w:sz w:val="32"/>
          <w:szCs w:val="32"/>
        </w:rPr>
        <w:t>度蔡甸区财政局规范化财政所建设及运行维护经费预算指标为</w:t>
      </w:r>
      <w:r>
        <w:rPr>
          <w:rFonts w:hint="eastAsia" w:asciiTheme="minorEastAsia" w:hAnsiTheme="minorEastAsia" w:eastAsiaTheme="minorEastAsia"/>
          <w:snapToGrid w:val="0"/>
          <w:color w:val="000000"/>
          <w:kern w:val="0"/>
          <w:sz w:val="32"/>
          <w:szCs w:val="32"/>
          <w:lang w:val="en-US" w:eastAsia="zh-CN"/>
        </w:rPr>
        <w:t>90</w:t>
      </w:r>
      <w:r>
        <w:rPr>
          <w:rFonts w:hint="eastAsia" w:asciiTheme="minorEastAsia" w:hAnsiTheme="minorEastAsia" w:eastAsiaTheme="minorEastAsia"/>
          <w:snapToGrid w:val="0"/>
          <w:color w:val="000000"/>
          <w:kern w:val="0"/>
          <w:sz w:val="32"/>
          <w:szCs w:val="32"/>
        </w:rPr>
        <w:t>万元。</w:t>
      </w:r>
    </w:p>
    <w:p>
      <w:pPr>
        <w:pStyle w:val="2"/>
        <w:keepNext w:val="0"/>
        <w:keepLines w:val="0"/>
        <w:widowControl/>
        <w:adjustRightInd w:val="0"/>
        <w:snapToGrid w:val="0"/>
        <w:spacing w:line="360" w:lineRule="auto"/>
        <w:ind w:left="0" w:leftChars="0" w:firstLine="643" w:firstLineChars="200"/>
        <w:rPr>
          <w:rFonts w:asciiTheme="minorEastAsia" w:hAnsiTheme="minorEastAsia" w:eastAsiaTheme="minorEastAsia"/>
          <w:snapToGrid w:val="0"/>
          <w:color w:val="000000"/>
          <w:kern w:val="0"/>
          <w:sz w:val="32"/>
        </w:rPr>
      </w:pPr>
      <w:bookmarkStart w:id="7" w:name="_Toc9002153"/>
      <w:r>
        <w:rPr>
          <w:rFonts w:hint="eastAsia" w:asciiTheme="minorEastAsia" w:hAnsiTheme="minorEastAsia" w:eastAsiaTheme="minorEastAsia"/>
          <w:snapToGrid w:val="0"/>
          <w:color w:val="000000"/>
          <w:kern w:val="0"/>
          <w:sz w:val="32"/>
        </w:rPr>
        <w:t>（二）资金支出情况</w:t>
      </w:r>
      <w:bookmarkEnd w:id="7"/>
    </w:p>
    <w:p>
      <w:pPr>
        <w:widowControl/>
        <w:adjustRightInd w:val="0"/>
        <w:snapToGrid w:val="0"/>
        <w:spacing w:line="360" w:lineRule="auto"/>
        <w:ind w:firstLine="640" w:firstLineChars="200"/>
        <w:rPr>
          <w:rFonts w:asciiTheme="minorEastAsia" w:hAnsiTheme="minorEastAsia" w:eastAsiaTheme="minorEastAsia"/>
          <w:snapToGrid w:val="0"/>
          <w:color w:val="000000"/>
          <w:kern w:val="0"/>
          <w:sz w:val="32"/>
          <w:szCs w:val="32"/>
        </w:rPr>
      </w:pPr>
      <w:r>
        <w:rPr>
          <w:rFonts w:hint="eastAsia"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规范化财政所建设及运行维护经费总预算</w:t>
      </w:r>
      <w:r>
        <w:rPr>
          <w:rFonts w:hint="eastAsia" w:asciiTheme="minorEastAsia" w:hAnsiTheme="minorEastAsia" w:eastAsiaTheme="minorEastAsia"/>
          <w:snapToGrid w:val="0"/>
          <w:color w:val="000000"/>
          <w:kern w:val="0"/>
          <w:sz w:val="32"/>
          <w:szCs w:val="32"/>
        </w:rPr>
        <w:t>100万元，已使用资金</w:t>
      </w:r>
      <w:r>
        <w:rPr>
          <w:rFonts w:hint="eastAsia" w:asciiTheme="minorEastAsia" w:hAnsiTheme="minorEastAsia" w:eastAsiaTheme="minorEastAsia"/>
          <w:snapToGrid w:val="0"/>
          <w:color w:val="000000"/>
          <w:kern w:val="0"/>
          <w:sz w:val="32"/>
          <w:szCs w:val="32"/>
          <w:lang w:val="en-US" w:eastAsia="zh-CN"/>
        </w:rPr>
        <w:t>84.28</w:t>
      </w:r>
      <w:r>
        <w:rPr>
          <w:rFonts w:hint="eastAsia" w:asciiTheme="minorEastAsia" w:hAnsiTheme="minorEastAsia" w:eastAsiaTheme="minorEastAsia"/>
          <w:snapToGrid w:val="0"/>
          <w:color w:val="000000"/>
          <w:kern w:val="0"/>
          <w:sz w:val="32"/>
          <w:szCs w:val="32"/>
        </w:rPr>
        <w:t>万元，具体支出项目见下表：</w:t>
      </w:r>
    </w:p>
    <w:tbl>
      <w:tblPr>
        <w:tblStyle w:val="5"/>
        <w:tblW w:w="0" w:type="auto"/>
        <w:tblInd w:w="0" w:type="dxa"/>
        <w:tblLayout w:type="fixed"/>
        <w:tblCellMar>
          <w:top w:w="0" w:type="dxa"/>
          <w:left w:w="108" w:type="dxa"/>
          <w:bottom w:w="0" w:type="dxa"/>
          <w:right w:w="108" w:type="dxa"/>
        </w:tblCellMar>
      </w:tblPr>
      <w:tblGrid>
        <w:gridCol w:w="5089"/>
        <w:gridCol w:w="3433"/>
      </w:tblGrid>
      <w:tr>
        <w:tblPrEx>
          <w:tblCellMar>
            <w:top w:w="0" w:type="dxa"/>
            <w:left w:w="108" w:type="dxa"/>
            <w:bottom w:w="0" w:type="dxa"/>
            <w:right w:w="108" w:type="dxa"/>
          </w:tblCellMar>
        </w:tblPrEx>
        <w:trPr>
          <w:trHeight w:val="270" w:hRule="atLeast"/>
        </w:trPr>
        <w:tc>
          <w:tcPr>
            <w:tcW w:w="508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项  目</w:t>
            </w:r>
          </w:p>
        </w:tc>
        <w:tc>
          <w:tcPr>
            <w:tcW w:w="3433" w:type="dxa"/>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支出金额（元）</w:t>
            </w:r>
          </w:p>
        </w:tc>
      </w:tr>
      <w:tr>
        <w:tblPrEx>
          <w:tblCellMar>
            <w:top w:w="0" w:type="dxa"/>
            <w:left w:w="108" w:type="dxa"/>
            <w:bottom w:w="0" w:type="dxa"/>
            <w:right w:w="108" w:type="dxa"/>
          </w:tblCellMar>
        </w:tblPrEx>
        <w:trPr>
          <w:trHeight w:val="300" w:hRule="atLeast"/>
        </w:trPr>
        <w:tc>
          <w:tcPr>
            <w:tcW w:w="508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商品和服务支出</w:t>
            </w:r>
          </w:p>
        </w:tc>
        <w:tc>
          <w:tcPr>
            <w:tcW w:w="34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heme="minorEastAsia" w:hAnsiTheme="minorEastAsia" w:eastAsiaTheme="minorEastAsia"/>
                <w:color w:val="000000"/>
                <w:kern w:val="0"/>
                <w:sz w:val="32"/>
                <w:szCs w:val="32"/>
                <w:lang w:val="en-US" w:eastAsia="zh-CN"/>
              </w:rPr>
            </w:pPr>
            <w:r>
              <w:rPr>
                <w:rFonts w:hint="eastAsia" w:asciiTheme="minorEastAsia" w:hAnsiTheme="minorEastAsia" w:eastAsiaTheme="minorEastAsia"/>
                <w:color w:val="000000"/>
                <w:kern w:val="0"/>
                <w:sz w:val="32"/>
                <w:szCs w:val="32"/>
                <w:lang w:val="en-US" w:eastAsia="zh-CN"/>
              </w:rPr>
              <w:t>842773.71</w:t>
            </w:r>
          </w:p>
        </w:tc>
      </w:tr>
      <w:tr>
        <w:tblPrEx>
          <w:tblCellMar>
            <w:top w:w="0" w:type="dxa"/>
            <w:left w:w="108" w:type="dxa"/>
            <w:bottom w:w="0" w:type="dxa"/>
            <w:right w:w="108" w:type="dxa"/>
          </w:tblCellMar>
        </w:tblPrEx>
        <w:trPr>
          <w:trHeight w:val="85" w:hRule="atLeast"/>
        </w:trPr>
        <w:tc>
          <w:tcPr>
            <w:tcW w:w="508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合   计</w:t>
            </w:r>
          </w:p>
        </w:tc>
        <w:tc>
          <w:tcPr>
            <w:tcW w:w="3433" w:type="dxa"/>
            <w:tcBorders>
              <w:top w:val="single" w:color="auto" w:sz="4" w:space="0"/>
              <w:left w:val="nil"/>
              <w:bottom w:val="single" w:color="auto" w:sz="4" w:space="0"/>
              <w:right w:val="single" w:color="auto" w:sz="4" w:space="0"/>
            </w:tcBorders>
            <w:noWrap/>
            <w:vAlign w:val="center"/>
          </w:tcPr>
          <w:p>
            <w:pPr>
              <w:widowControl/>
              <w:jc w:val="center"/>
              <w:rPr>
                <w:rFonts w:hint="default" w:asciiTheme="minorEastAsia" w:hAnsiTheme="minorEastAsia" w:eastAsiaTheme="minorEastAsia"/>
                <w:b/>
                <w:color w:val="000000"/>
                <w:kern w:val="0"/>
                <w:sz w:val="32"/>
                <w:szCs w:val="32"/>
                <w:lang w:val="en-US" w:eastAsia="zh-CN"/>
              </w:rPr>
            </w:pPr>
            <w:r>
              <w:rPr>
                <w:rFonts w:hint="eastAsia" w:asciiTheme="minorEastAsia" w:hAnsiTheme="minorEastAsia" w:eastAsiaTheme="minorEastAsia"/>
                <w:color w:val="000000"/>
                <w:kern w:val="0"/>
                <w:sz w:val="32"/>
                <w:szCs w:val="32"/>
                <w:lang w:val="en-US" w:eastAsia="zh-CN"/>
              </w:rPr>
              <w:t>842773.71</w:t>
            </w:r>
          </w:p>
        </w:tc>
      </w:tr>
    </w:tbl>
    <w:p>
      <w:pPr>
        <w:pStyle w:val="2"/>
        <w:keepNext w:val="0"/>
        <w:keepLines w:val="0"/>
        <w:widowControl/>
        <w:adjustRightInd w:val="0"/>
        <w:snapToGrid w:val="0"/>
        <w:spacing w:beforeLines="50" w:line="360" w:lineRule="auto"/>
        <w:ind w:left="0" w:leftChars="0" w:firstLine="643" w:firstLineChars="200"/>
        <w:rPr>
          <w:rFonts w:asciiTheme="minorEastAsia" w:hAnsiTheme="minorEastAsia" w:eastAsiaTheme="minorEastAsia"/>
          <w:snapToGrid w:val="0"/>
          <w:color w:val="000000"/>
          <w:kern w:val="0"/>
          <w:sz w:val="32"/>
        </w:rPr>
      </w:pPr>
      <w:bookmarkStart w:id="8" w:name="_Toc9002154"/>
      <w:r>
        <w:rPr>
          <w:rFonts w:hint="eastAsia" w:asciiTheme="minorEastAsia" w:hAnsiTheme="minorEastAsia" w:eastAsiaTheme="minorEastAsia"/>
          <w:snapToGrid w:val="0"/>
          <w:color w:val="000000"/>
          <w:kern w:val="0"/>
          <w:sz w:val="32"/>
        </w:rPr>
        <w:t>（三）资金管理情况</w:t>
      </w:r>
      <w:bookmarkEnd w:id="8"/>
    </w:p>
    <w:p>
      <w:pPr>
        <w:widowControl/>
        <w:adjustRightInd w:val="0"/>
        <w:snapToGrid w:val="0"/>
        <w:spacing w:line="360" w:lineRule="auto"/>
        <w:ind w:firstLine="640" w:firstLineChars="200"/>
        <w:rPr>
          <w:rFonts w:asciiTheme="minorEastAsia" w:hAnsiTheme="minorEastAsia" w:eastAsiaTheme="minorEastAsia"/>
          <w:snapToGrid w:val="0"/>
          <w:color w:val="000000"/>
          <w:kern w:val="0"/>
          <w:sz w:val="32"/>
          <w:szCs w:val="32"/>
        </w:rPr>
      </w:pPr>
      <w:r>
        <w:rPr>
          <w:rFonts w:hint="eastAsia" w:asciiTheme="minorEastAsia" w:hAnsiTheme="minorEastAsia" w:eastAsiaTheme="minorEastAsia"/>
          <w:snapToGrid w:val="0"/>
          <w:color w:val="000000"/>
          <w:kern w:val="0"/>
          <w:sz w:val="32"/>
          <w:szCs w:val="32"/>
        </w:rPr>
        <w:t>本项目建立了完善的《财务管理制度》，项目资金由财政直接支付，资金管理情况较好。</w:t>
      </w:r>
    </w:p>
    <w:p>
      <w:pPr>
        <w:pStyle w:val="2"/>
        <w:keepNext w:val="0"/>
        <w:keepLines w:val="0"/>
        <w:widowControl/>
        <w:adjustRightInd w:val="0"/>
        <w:snapToGrid w:val="0"/>
        <w:spacing w:line="360" w:lineRule="auto"/>
        <w:ind w:left="0" w:leftChars="0" w:firstLine="643" w:firstLineChars="200"/>
        <w:rPr>
          <w:rFonts w:asciiTheme="minorEastAsia" w:hAnsiTheme="minorEastAsia" w:eastAsiaTheme="minorEastAsia"/>
          <w:snapToGrid w:val="0"/>
          <w:color w:val="000000"/>
          <w:kern w:val="0"/>
          <w:sz w:val="32"/>
        </w:rPr>
      </w:pPr>
      <w:bookmarkStart w:id="9" w:name="_Toc9002155"/>
      <w:r>
        <w:rPr>
          <w:rFonts w:hint="eastAsia" w:asciiTheme="minorEastAsia" w:hAnsiTheme="minorEastAsia" w:eastAsiaTheme="minorEastAsia"/>
          <w:snapToGrid w:val="0"/>
          <w:color w:val="000000"/>
          <w:kern w:val="0"/>
          <w:sz w:val="32"/>
        </w:rPr>
        <w:t>六、</w:t>
      </w:r>
      <w:bookmarkStart w:id="10" w:name="_Toc387933333"/>
      <w:r>
        <w:rPr>
          <w:rFonts w:hint="eastAsia" w:asciiTheme="minorEastAsia" w:hAnsiTheme="minorEastAsia" w:eastAsiaTheme="minorEastAsia"/>
          <w:snapToGrid w:val="0"/>
          <w:color w:val="000000"/>
          <w:kern w:val="0"/>
          <w:sz w:val="32"/>
        </w:rPr>
        <w:t>项目实施</w:t>
      </w:r>
      <w:bookmarkEnd w:id="10"/>
      <w:r>
        <w:rPr>
          <w:rFonts w:hint="eastAsia" w:asciiTheme="minorEastAsia" w:hAnsiTheme="minorEastAsia" w:eastAsiaTheme="minorEastAsia"/>
          <w:snapToGrid w:val="0"/>
          <w:color w:val="000000"/>
          <w:kern w:val="0"/>
          <w:sz w:val="32"/>
        </w:rPr>
        <w:t>情况</w:t>
      </w:r>
      <w:bookmarkEnd w:id="9"/>
    </w:p>
    <w:p>
      <w:pPr>
        <w:pStyle w:val="2"/>
        <w:keepNext w:val="0"/>
        <w:keepLines w:val="0"/>
        <w:widowControl/>
        <w:adjustRightInd w:val="0"/>
        <w:snapToGrid w:val="0"/>
        <w:spacing w:line="360" w:lineRule="auto"/>
        <w:ind w:left="399" w:leftChars="190" w:firstLine="156" w:firstLineChars="49"/>
        <w:rPr>
          <w:rFonts w:hint="eastAsia" w:cs="仿宋_GB2312" w:asciiTheme="minorEastAsia" w:hAnsiTheme="minorEastAsia" w:eastAsiaTheme="minorEastAsia"/>
          <w:b w:val="0"/>
          <w:snapToGrid w:val="0"/>
          <w:color w:val="000000"/>
          <w:kern w:val="0"/>
          <w:sz w:val="32"/>
        </w:rPr>
      </w:pPr>
      <w:bookmarkStart w:id="20" w:name="_GoBack"/>
      <w:r>
        <w:rPr>
          <w:rFonts w:hint="eastAsia" w:cs="仿宋_GB2312" w:asciiTheme="minorEastAsia" w:hAnsiTheme="minorEastAsia" w:eastAsiaTheme="minorEastAsia"/>
          <w:b w:val="0"/>
          <w:snapToGrid w:val="0"/>
          <w:color w:val="000000"/>
          <w:kern w:val="0"/>
          <w:sz w:val="32"/>
          <w:lang w:eastAsia="zh-CN"/>
        </w:rPr>
        <w:t>2021年</w:t>
      </w:r>
      <w:r>
        <w:rPr>
          <w:rFonts w:hint="eastAsia" w:cs="仿宋_GB2312" w:asciiTheme="minorEastAsia" w:hAnsiTheme="minorEastAsia" w:eastAsiaTheme="minorEastAsia"/>
          <w:b w:val="0"/>
          <w:snapToGrid w:val="0"/>
          <w:color w:val="000000"/>
          <w:kern w:val="0"/>
          <w:sz w:val="32"/>
        </w:rPr>
        <w:t>我局根据绩效管理目标任务的要求，推进</w:t>
      </w:r>
      <w:r>
        <w:rPr>
          <w:rFonts w:hint="eastAsia" w:cs="仿宋_GB2312" w:asciiTheme="minorEastAsia" w:hAnsiTheme="minorEastAsia" w:eastAsiaTheme="minorEastAsia"/>
          <w:b w:val="0"/>
          <w:snapToGrid w:val="0"/>
          <w:color w:val="000000"/>
          <w:kern w:val="0"/>
          <w:sz w:val="32"/>
          <w:lang w:eastAsia="zh-CN"/>
        </w:rPr>
        <w:t>2021年</w:t>
      </w:r>
      <w:r>
        <w:rPr>
          <w:rFonts w:hint="eastAsia" w:cs="仿宋_GB2312" w:asciiTheme="minorEastAsia" w:hAnsiTheme="minorEastAsia" w:eastAsiaTheme="minorEastAsia"/>
          <w:b w:val="0"/>
          <w:snapToGrid w:val="0"/>
          <w:color w:val="000000"/>
          <w:kern w:val="0"/>
          <w:sz w:val="32"/>
        </w:rPr>
        <w:t>基层财政所硬件改造、档案、文明、党建建设完成。推进财政支农资金整合统筹使用，落实精准扶贫精准脱贫各项指标，进一步完善社会保障体系。建立规范化的标准、档案、文明、党建等管理制度，</w:t>
      </w:r>
      <w:r>
        <w:rPr>
          <w:rFonts w:hint="eastAsia" w:cs="仿宋_GB2312" w:asciiTheme="minorEastAsia" w:hAnsiTheme="minorEastAsia" w:eastAsiaTheme="minorEastAsia"/>
          <w:b w:val="0"/>
          <w:snapToGrid w:val="0"/>
          <w:color w:val="000000"/>
          <w:kern w:val="0"/>
          <w:sz w:val="32"/>
          <w:lang w:eastAsia="zh-CN"/>
        </w:rPr>
        <w:t>2021年</w:t>
      </w:r>
      <w:r>
        <w:rPr>
          <w:rFonts w:hint="eastAsia" w:cs="仿宋_GB2312" w:asciiTheme="minorEastAsia" w:hAnsiTheme="minorEastAsia" w:eastAsiaTheme="minorEastAsia"/>
          <w:b w:val="0"/>
          <w:snapToGrid w:val="0"/>
          <w:color w:val="000000"/>
          <w:kern w:val="0"/>
          <w:sz w:val="32"/>
        </w:rPr>
        <w:t>省市区级规范化财政所标准、档案、文明、党建检查合格，专项资金检查合格。</w:t>
      </w:r>
      <w:r>
        <w:rPr>
          <w:rFonts w:hint="eastAsia" w:cs="仿宋_GB2312" w:asciiTheme="minorEastAsia" w:hAnsiTheme="minorEastAsia" w:eastAsiaTheme="minorEastAsia"/>
          <w:b w:val="0"/>
          <w:snapToGrid w:val="0"/>
          <w:color w:val="000000"/>
          <w:kern w:val="0"/>
          <w:sz w:val="32"/>
          <w:lang w:eastAsia="zh-CN"/>
        </w:rPr>
        <w:t>2021年</w:t>
      </w:r>
      <w:r>
        <w:rPr>
          <w:rFonts w:hint="eastAsia" w:cs="仿宋_GB2312" w:asciiTheme="minorEastAsia" w:hAnsiTheme="minorEastAsia" w:eastAsiaTheme="minorEastAsia"/>
          <w:b w:val="0"/>
          <w:snapToGrid w:val="0"/>
          <w:color w:val="000000"/>
          <w:kern w:val="0"/>
          <w:sz w:val="32"/>
        </w:rPr>
        <w:t>项目绩效目标基本完成，部分绩效目标数量实现了超额完成</w:t>
      </w:r>
      <w:bookmarkEnd w:id="20"/>
      <w:r>
        <w:rPr>
          <w:rFonts w:hint="eastAsia" w:cs="仿宋_GB2312" w:asciiTheme="minorEastAsia" w:hAnsiTheme="minorEastAsia" w:eastAsiaTheme="minorEastAsia"/>
          <w:b w:val="0"/>
          <w:snapToGrid w:val="0"/>
          <w:color w:val="000000"/>
          <w:kern w:val="0"/>
          <w:sz w:val="32"/>
        </w:rPr>
        <w:t>，具体完成情况见附件（武汉市蔡甸区财政局规范化财政所建设及运行维护经费专项绩效目标自评表）</w:t>
      </w:r>
      <w:bookmarkStart w:id="11" w:name="_Toc9002156"/>
    </w:p>
    <w:p>
      <w:pPr>
        <w:pStyle w:val="2"/>
        <w:keepNext w:val="0"/>
        <w:keepLines w:val="0"/>
        <w:widowControl/>
        <w:adjustRightInd w:val="0"/>
        <w:snapToGrid w:val="0"/>
        <w:spacing w:line="360" w:lineRule="auto"/>
        <w:ind w:left="399" w:leftChars="190" w:firstLine="156" w:firstLineChars="49"/>
        <w:rPr>
          <w:rFonts w:asciiTheme="minorEastAsia" w:hAnsiTheme="minorEastAsia" w:eastAsiaTheme="minorEastAsia"/>
          <w:b w:val="0"/>
          <w:snapToGrid w:val="0"/>
          <w:color w:val="000000"/>
          <w:kern w:val="0"/>
          <w:sz w:val="32"/>
        </w:rPr>
      </w:pPr>
      <w:r>
        <w:rPr>
          <w:rFonts w:hint="eastAsia" w:asciiTheme="minorEastAsia" w:hAnsiTheme="minorEastAsia" w:eastAsiaTheme="minorEastAsia"/>
          <w:b w:val="0"/>
          <w:snapToGrid w:val="0"/>
          <w:color w:val="000000"/>
          <w:kern w:val="0"/>
          <w:sz w:val="32"/>
        </w:rPr>
        <w:t>七、项目效果</w:t>
      </w:r>
      <w:bookmarkEnd w:id="11"/>
    </w:p>
    <w:p>
      <w:pPr>
        <w:pStyle w:val="2"/>
        <w:keepNext w:val="0"/>
        <w:keepLines w:val="0"/>
        <w:widowControl/>
        <w:adjustRightInd w:val="0"/>
        <w:snapToGrid w:val="0"/>
        <w:spacing w:line="360" w:lineRule="auto"/>
        <w:ind w:left="399" w:leftChars="190" w:firstLine="157" w:firstLineChars="49"/>
        <w:rPr>
          <w:rFonts w:asciiTheme="minorEastAsia" w:hAnsiTheme="minorEastAsia" w:eastAsiaTheme="minorEastAsia"/>
          <w:snapToGrid w:val="0"/>
          <w:color w:val="000000"/>
          <w:kern w:val="0"/>
          <w:sz w:val="32"/>
        </w:rPr>
      </w:pPr>
      <w:bookmarkStart w:id="12" w:name="_Toc421917372"/>
      <w:bookmarkStart w:id="13" w:name="_Toc9002157"/>
      <w:r>
        <w:rPr>
          <w:rFonts w:hint="eastAsia" w:asciiTheme="minorEastAsia" w:hAnsiTheme="minorEastAsia" w:eastAsiaTheme="minorEastAsia"/>
          <w:snapToGrid w:val="0"/>
          <w:color w:val="000000"/>
          <w:kern w:val="0"/>
          <w:sz w:val="32"/>
        </w:rPr>
        <w:t>（一）</w:t>
      </w:r>
      <w:bookmarkEnd w:id="12"/>
      <w:r>
        <w:rPr>
          <w:rFonts w:hint="eastAsia" w:asciiTheme="minorEastAsia" w:hAnsiTheme="minorEastAsia" w:eastAsiaTheme="minorEastAsia"/>
          <w:snapToGrid w:val="0"/>
          <w:color w:val="000000"/>
          <w:kern w:val="0"/>
          <w:sz w:val="32"/>
        </w:rPr>
        <w:t>社会效益</w:t>
      </w:r>
      <w:bookmarkEnd w:id="13"/>
    </w:p>
    <w:p>
      <w:pPr>
        <w:adjustRightInd w:val="0"/>
        <w:snapToGrid w:val="0"/>
        <w:spacing w:line="360" w:lineRule="auto"/>
        <w:ind w:firstLine="800" w:firstLineChars="25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该项目实施对财政所基础设施规范化和业务工作规范化、强化财政所自身建设，推进财政运行科学化精细化管理方面作用显著。</w:t>
      </w:r>
    </w:p>
    <w:p>
      <w:pPr>
        <w:pStyle w:val="2"/>
        <w:keepNext w:val="0"/>
        <w:keepLines w:val="0"/>
        <w:widowControl/>
        <w:adjustRightInd w:val="0"/>
        <w:snapToGrid w:val="0"/>
        <w:spacing w:line="360" w:lineRule="auto"/>
        <w:ind w:left="399" w:leftChars="190" w:firstLine="157" w:firstLineChars="49"/>
        <w:rPr>
          <w:rFonts w:asciiTheme="minorEastAsia" w:hAnsiTheme="minorEastAsia" w:eastAsiaTheme="minorEastAsia"/>
          <w:snapToGrid w:val="0"/>
          <w:color w:val="000000"/>
          <w:kern w:val="0"/>
          <w:sz w:val="32"/>
        </w:rPr>
      </w:pPr>
      <w:bookmarkStart w:id="14" w:name="_Toc9002158"/>
      <w:r>
        <w:rPr>
          <w:rFonts w:hint="eastAsia" w:asciiTheme="minorEastAsia" w:hAnsiTheme="minorEastAsia" w:eastAsiaTheme="minorEastAsia"/>
          <w:snapToGrid w:val="0"/>
          <w:color w:val="000000"/>
          <w:kern w:val="0"/>
          <w:sz w:val="32"/>
        </w:rPr>
        <w:t>（二）</w:t>
      </w:r>
      <w:bookmarkStart w:id="15" w:name="_Toc519784631"/>
      <w:r>
        <w:rPr>
          <w:rFonts w:hint="eastAsia" w:asciiTheme="minorEastAsia" w:hAnsiTheme="minorEastAsia" w:eastAsiaTheme="minorEastAsia"/>
          <w:snapToGrid w:val="0"/>
          <w:color w:val="000000"/>
          <w:kern w:val="0"/>
          <w:sz w:val="32"/>
        </w:rPr>
        <w:t>服务对象满意度</w:t>
      </w:r>
      <w:bookmarkEnd w:id="14"/>
      <w:bookmarkEnd w:id="15"/>
    </w:p>
    <w:p>
      <w:pPr>
        <w:widowControl/>
        <w:adjustRightInd w:val="0"/>
        <w:snapToGrid w:val="0"/>
        <w:spacing w:line="360" w:lineRule="auto"/>
        <w:ind w:firstLine="800" w:firstLineChars="25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服务对象反馈服务较好，未提出投诉，满意率95%。</w:t>
      </w:r>
    </w:p>
    <w:p>
      <w:pPr>
        <w:pStyle w:val="2"/>
        <w:keepNext w:val="0"/>
        <w:keepLines w:val="0"/>
        <w:widowControl/>
        <w:adjustRightInd w:val="0"/>
        <w:snapToGrid w:val="0"/>
        <w:spacing w:line="360" w:lineRule="auto"/>
        <w:ind w:left="399" w:leftChars="190" w:firstLine="157" w:firstLineChars="49"/>
        <w:rPr>
          <w:rFonts w:asciiTheme="minorEastAsia" w:hAnsiTheme="minorEastAsia" w:eastAsiaTheme="minorEastAsia"/>
          <w:snapToGrid w:val="0"/>
          <w:color w:val="000000"/>
          <w:kern w:val="0"/>
          <w:sz w:val="32"/>
        </w:rPr>
      </w:pPr>
      <w:bookmarkStart w:id="16" w:name="_Toc9002159"/>
      <w:r>
        <w:rPr>
          <w:rFonts w:hint="eastAsia" w:asciiTheme="minorEastAsia" w:hAnsiTheme="minorEastAsia" w:eastAsiaTheme="minorEastAsia"/>
          <w:snapToGrid w:val="0"/>
          <w:color w:val="000000"/>
          <w:kern w:val="0"/>
          <w:sz w:val="32"/>
        </w:rPr>
        <w:t>八、绩效自评结果拟应用和公开情况</w:t>
      </w:r>
      <w:bookmarkEnd w:id="16"/>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每年度将自评情况按时向上级单位报送。</w:t>
      </w:r>
    </w:p>
    <w:p>
      <w:pPr>
        <w:pStyle w:val="2"/>
        <w:keepNext w:val="0"/>
        <w:keepLines w:val="0"/>
        <w:widowControl/>
        <w:adjustRightInd w:val="0"/>
        <w:snapToGrid w:val="0"/>
        <w:spacing w:line="360" w:lineRule="auto"/>
        <w:ind w:left="0" w:leftChars="0" w:firstLine="643" w:firstLineChars="200"/>
        <w:rPr>
          <w:rFonts w:asciiTheme="minorEastAsia" w:hAnsiTheme="minorEastAsia" w:eastAsiaTheme="minorEastAsia"/>
          <w:snapToGrid w:val="0"/>
          <w:color w:val="000000"/>
          <w:kern w:val="0"/>
          <w:sz w:val="32"/>
        </w:rPr>
      </w:pPr>
      <w:bookmarkStart w:id="17" w:name="_Toc9002160"/>
      <w:r>
        <w:rPr>
          <w:rFonts w:hint="eastAsia" w:asciiTheme="minorEastAsia" w:hAnsiTheme="minorEastAsia" w:eastAsiaTheme="minorEastAsia"/>
          <w:snapToGrid w:val="0"/>
          <w:color w:val="000000"/>
          <w:kern w:val="0"/>
          <w:sz w:val="32"/>
        </w:rPr>
        <w:t>九、绩效自评工作的经验、问题和建议</w:t>
      </w:r>
      <w:bookmarkEnd w:id="17"/>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18" w:name="_Toc9002161"/>
      <w:r>
        <w:rPr>
          <w:rFonts w:hint="eastAsia" w:asciiTheme="minorEastAsia" w:hAnsiTheme="minorEastAsia" w:eastAsiaTheme="minorEastAsia"/>
          <w:snapToGrid w:val="0"/>
          <w:color w:val="000000"/>
          <w:kern w:val="0"/>
          <w:sz w:val="32"/>
        </w:rPr>
        <w:t>（一）主要经验与做法</w:t>
      </w:r>
      <w:bookmarkEnd w:id="18"/>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cs="仿宋_GB2312" w:asciiTheme="minorEastAsia" w:hAnsiTheme="minorEastAsia" w:eastAsiaTheme="minorEastAsia"/>
          <w:snapToGrid w:val="0"/>
          <w:color w:val="000000"/>
          <w:kern w:val="0"/>
          <w:sz w:val="32"/>
          <w:szCs w:val="32"/>
        </w:rPr>
        <w:t>1、</w:t>
      </w:r>
      <w:r>
        <w:rPr>
          <w:rFonts w:hint="eastAsia" w:cs="仿宋_GB2312" w:asciiTheme="minorEastAsia" w:hAnsiTheme="minorEastAsia" w:eastAsiaTheme="minorEastAsia"/>
          <w:snapToGrid w:val="0"/>
          <w:color w:val="000000"/>
          <w:kern w:val="0"/>
          <w:sz w:val="32"/>
          <w:szCs w:val="32"/>
        </w:rPr>
        <w:t>推进</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基层财政所硬件改造、档案、文明、党建建设完成。</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cs="仿宋_GB2312" w:asciiTheme="minorEastAsia" w:hAnsiTheme="minorEastAsia" w:eastAsiaTheme="minorEastAsia"/>
          <w:snapToGrid w:val="0"/>
          <w:color w:val="000000"/>
          <w:kern w:val="0"/>
          <w:sz w:val="32"/>
          <w:szCs w:val="32"/>
        </w:rPr>
        <w:t>2、</w:t>
      </w:r>
      <w:r>
        <w:rPr>
          <w:rFonts w:hint="eastAsia" w:cs="仿宋_GB2312" w:asciiTheme="minorEastAsia" w:hAnsiTheme="minorEastAsia" w:eastAsiaTheme="minorEastAsia"/>
          <w:snapToGrid w:val="0"/>
          <w:color w:val="000000"/>
          <w:kern w:val="0"/>
          <w:sz w:val="32"/>
          <w:szCs w:val="32"/>
        </w:rPr>
        <w:t>推进财政支农资金整合统筹使用，落实精准扶贫精准脱贫各项指标，进一步完善社会保障体系。</w:t>
      </w:r>
    </w:p>
    <w:p>
      <w:pPr>
        <w:widowControl/>
        <w:adjustRightInd w:val="0"/>
        <w:snapToGrid w:val="0"/>
        <w:spacing w:line="360" w:lineRule="auto"/>
        <w:ind w:firstLine="640" w:firstLineChars="200"/>
        <w:rPr>
          <w:rFonts w:asciiTheme="minorEastAsia" w:hAnsiTheme="minorEastAsia" w:eastAsiaTheme="minorEastAsia"/>
          <w:color w:val="000000"/>
          <w:sz w:val="32"/>
          <w:szCs w:val="32"/>
        </w:rPr>
      </w:pPr>
      <w:r>
        <w:rPr>
          <w:rFonts w:cs="仿宋_GB2312" w:asciiTheme="minorEastAsia" w:hAnsiTheme="minorEastAsia" w:eastAsiaTheme="minorEastAsia"/>
          <w:snapToGrid w:val="0"/>
          <w:color w:val="000000"/>
          <w:kern w:val="0"/>
          <w:sz w:val="32"/>
          <w:szCs w:val="32"/>
        </w:rPr>
        <w:t>3、</w:t>
      </w:r>
      <w:r>
        <w:rPr>
          <w:rFonts w:hint="eastAsia" w:cs="仿宋_GB2312" w:asciiTheme="minorEastAsia" w:hAnsiTheme="minorEastAsia" w:eastAsiaTheme="minorEastAsia"/>
          <w:snapToGrid w:val="0"/>
          <w:color w:val="000000"/>
          <w:kern w:val="0"/>
          <w:sz w:val="32"/>
          <w:szCs w:val="32"/>
        </w:rPr>
        <w:t>建立规范化的标准、档案、文明、党建等管理制度。</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19" w:name="_Toc9002162"/>
      <w:r>
        <w:rPr>
          <w:rFonts w:hint="eastAsia" w:asciiTheme="minorEastAsia" w:hAnsiTheme="minorEastAsia" w:eastAsiaTheme="minorEastAsia"/>
          <w:snapToGrid w:val="0"/>
          <w:color w:val="000000"/>
          <w:kern w:val="0"/>
          <w:sz w:val="32"/>
        </w:rPr>
        <w:t>（二）存在的问题</w:t>
      </w:r>
      <w:bookmarkEnd w:id="19"/>
    </w:p>
    <w:p>
      <w:pPr>
        <w:widowControl/>
        <w:adjustRightInd w:val="0"/>
        <w:snapToGrid w:val="0"/>
        <w:spacing w:line="360" w:lineRule="auto"/>
        <w:ind w:firstLine="640" w:firstLineChars="200"/>
        <w:rPr>
          <w:rFonts w:cs="仿宋_GB2312" w:asciiTheme="minorEastAsia" w:hAnsiTheme="minorEastAsia" w:eastAsiaTheme="minorEastAsia"/>
          <w:color w:val="000000"/>
          <w:sz w:val="32"/>
          <w:szCs w:val="32"/>
        </w:rPr>
      </w:pPr>
      <w:r>
        <w:rPr>
          <w:rFonts w:hint="eastAsia" w:cs="仿宋_GB2312" w:asciiTheme="minorEastAsia" w:hAnsiTheme="minorEastAsia" w:eastAsiaTheme="minorEastAsia"/>
          <w:color w:val="000000"/>
          <w:sz w:val="32"/>
          <w:szCs w:val="32"/>
        </w:rPr>
        <w:t xml:space="preserve">1. 我局规范化财政所建设及运行维护经费项目年初编制的产出指标和效益指标不够精细，内容较广泛。 </w:t>
      </w:r>
    </w:p>
    <w:p>
      <w:pPr>
        <w:widowControl/>
        <w:adjustRightInd w:val="0"/>
        <w:snapToGrid w:val="0"/>
        <w:spacing w:line="360" w:lineRule="auto"/>
        <w:ind w:firstLine="640" w:firstLineChars="200"/>
        <w:rPr>
          <w:rFonts w:cs="仿宋_GB2312" w:asciiTheme="minorEastAsia" w:hAnsiTheme="minorEastAsia" w:eastAsiaTheme="minorEastAsia"/>
          <w:color w:val="000000"/>
          <w:sz w:val="32"/>
          <w:szCs w:val="32"/>
        </w:rPr>
      </w:pPr>
      <w:r>
        <w:rPr>
          <w:rFonts w:hint="eastAsia" w:cs="仿宋_GB2312" w:asciiTheme="minorEastAsia" w:hAnsiTheme="minorEastAsia" w:eastAsiaTheme="minorEastAsia"/>
          <w:color w:val="000000"/>
          <w:sz w:val="32"/>
          <w:szCs w:val="32"/>
        </w:rPr>
        <w:t xml:space="preserve">2.绩效运行监控机制不完善， 绩效管理基础信息工作有待加强，绩效核算有待改进。缺乏有效的项目管理，过程管理不到位，痕迹管理薄弱。 </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r>
        <w:rPr>
          <w:rFonts w:hint="eastAsia" w:asciiTheme="minorEastAsia" w:hAnsiTheme="minorEastAsia" w:eastAsiaTheme="minorEastAsia"/>
          <w:snapToGrid w:val="0"/>
          <w:color w:val="000000"/>
          <w:kern w:val="0"/>
          <w:sz w:val="32"/>
        </w:rPr>
        <w:t>（三）改进建议</w:t>
      </w:r>
    </w:p>
    <w:p>
      <w:pPr>
        <w:widowControl/>
        <w:adjustRightInd w:val="0"/>
        <w:snapToGrid w:val="0"/>
        <w:spacing w:line="360" w:lineRule="auto"/>
        <w:ind w:firstLine="640" w:firstLineChars="200"/>
        <w:rPr>
          <w:rFonts w:cs="仿宋_GB2312" w:asciiTheme="minorEastAsia" w:hAnsiTheme="minorEastAsia" w:eastAsiaTheme="minorEastAsia"/>
          <w:color w:val="000000"/>
          <w:sz w:val="32"/>
          <w:szCs w:val="32"/>
        </w:rPr>
      </w:pPr>
      <w:r>
        <w:rPr>
          <w:rFonts w:hint="eastAsia" w:cs="仿宋_GB2312" w:asciiTheme="minorEastAsia" w:hAnsiTheme="minorEastAsia" w:eastAsiaTheme="minorEastAsia"/>
          <w:color w:val="000000"/>
          <w:sz w:val="32"/>
          <w:szCs w:val="32"/>
        </w:rPr>
        <w:t>1. 今后要加强对预算管理的重视，根据预算绩效管理的相关要求，将进行更加科学的认证，结合实际情况，将其指标更加精细、具体化。认真梳理项目活动，依据项目活动明确项目绩效目标、量化关键绩效指标，做好绩效目标的编报工作。</w:t>
      </w:r>
    </w:p>
    <w:p>
      <w:pPr>
        <w:widowControl/>
        <w:adjustRightInd w:val="0"/>
        <w:snapToGrid w:val="0"/>
        <w:spacing w:line="360" w:lineRule="auto"/>
        <w:ind w:firstLine="640" w:firstLineChars="200"/>
        <w:rPr>
          <w:rFonts w:cs="仿宋_GB2312" w:asciiTheme="minorEastAsia" w:hAnsiTheme="minorEastAsia" w:eastAsiaTheme="minorEastAsia"/>
          <w:color w:val="000000"/>
          <w:sz w:val="32"/>
          <w:szCs w:val="32"/>
        </w:rPr>
      </w:pPr>
      <w:r>
        <w:rPr>
          <w:rFonts w:hint="eastAsia" w:cs="仿宋_GB2312" w:asciiTheme="minorEastAsia" w:hAnsiTheme="minorEastAsia" w:eastAsiaTheme="minorEastAsia"/>
          <w:color w:val="000000"/>
          <w:sz w:val="32"/>
          <w:szCs w:val="32"/>
        </w:rPr>
        <w:t>2.建立健全预算绩效管理档案管理工作责任制，专人保管，完善健全绩效信息记录表单、台账，完善绩效执行报告制度，定期整理归档，为持续开展绩效跟踪和评价工作创造有利条件。</w:t>
      </w:r>
    </w:p>
    <w:p/>
    <w:sectPr>
      <w:pgSz w:w="11906" w:h="16838"/>
      <w:pgMar w:top="1440" w:right="851" w:bottom="533"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yOTA4MjFiN2E2MTRlZjFjZWIyMTBlODMzYjRmMjgifQ=="/>
  </w:docVars>
  <w:rsids>
    <w:rsidRoot w:val="001671FD"/>
    <w:rsid w:val="00040422"/>
    <w:rsid w:val="001671FD"/>
    <w:rsid w:val="00344EC7"/>
    <w:rsid w:val="004A708D"/>
    <w:rsid w:val="00632FC1"/>
    <w:rsid w:val="00822012"/>
    <w:rsid w:val="00942F02"/>
    <w:rsid w:val="00994742"/>
    <w:rsid w:val="009A44D2"/>
    <w:rsid w:val="009A66A5"/>
    <w:rsid w:val="00A811C6"/>
    <w:rsid w:val="00B1521B"/>
    <w:rsid w:val="00B231AA"/>
    <w:rsid w:val="00BE3AD2"/>
    <w:rsid w:val="188F033C"/>
    <w:rsid w:val="5082788E"/>
    <w:rsid w:val="77F9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7"/>
    <w:qFormat/>
    <w:uiPriority w:val="0"/>
    <w:pPr>
      <w:keepNext/>
      <w:keepLines/>
      <w:spacing w:line="413" w:lineRule="auto"/>
      <w:ind w:left="400" w:leftChars="400"/>
      <w:outlineLvl w:val="2"/>
    </w:pPr>
    <w:rPr>
      <w:rFonts w:eastAsia="仿宋"/>
      <w:b/>
      <w:bCs/>
      <w:sz w:val="28"/>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6"/>
    <w:link w:val="2"/>
    <w:qFormat/>
    <w:uiPriority w:val="0"/>
    <w:rPr>
      <w:rFonts w:ascii="Times New Roman" w:hAnsi="Times New Roman" w:eastAsia="仿宋" w:cs="Times New Roman"/>
      <w:b/>
      <w:bCs/>
      <w:sz w:val="28"/>
      <w:szCs w:val="32"/>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2161</Words>
  <Characters>2259</Characters>
  <Lines>13</Lines>
  <Paragraphs>3</Paragraphs>
  <TotalTime>7</TotalTime>
  <ScaleCrop>false</ScaleCrop>
  <LinksUpToDate>false</LinksUpToDate>
  <CharactersWithSpaces>2269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2020-05-28T01:22:00Z</dcterms:created>
  <dc:creator>cws</dc:creator>
  <cp:lastModifiedBy>cws</cp:lastModifiedBy>
  <cp:lastPrinted>2022-03-29T04:45:00Z</cp:lastPrinted>
  <dcterms:modified xsi:type="dcterms:W3CDTF">2022-11-03T08:35:28Z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CE3AC7BCABE14E7EA0DB2CE6B31BB5E3</vt:lpwstr>
  </property>
</Properties>
</file>