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360" w:after="240" w:line="640" w:lineRule="atLeast"/>
        <w:jc w:val="center"/>
        <w:rPr>
          <w:rFonts w:hint="eastAsia" w:ascii="黑体" w:eastAsia="黑体"/>
          <w:b w:val="0"/>
          <w:szCs w:val="44"/>
          <w:lang w:eastAsia="zh-CN"/>
        </w:rPr>
      </w:pPr>
      <w:r>
        <w:rPr>
          <w:rFonts w:hint="eastAsia" w:ascii="黑体" w:eastAsia="黑体"/>
          <w:b w:val="0"/>
          <w:szCs w:val="44"/>
          <w:lang w:eastAsia="zh-CN"/>
        </w:rPr>
        <w:t>武汉市蔡甸区城市管理综合执法大队</w:t>
      </w:r>
    </w:p>
    <w:p>
      <w:pPr>
        <w:pStyle w:val="2"/>
        <w:snapToGrid w:val="0"/>
        <w:spacing w:before="360" w:after="240" w:line="640" w:lineRule="atLeast"/>
        <w:jc w:val="center"/>
        <w:rPr>
          <w:rFonts w:hint="eastAsia" w:ascii="黑体" w:eastAsia="黑体"/>
          <w:b w:val="0"/>
          <w:szCs w:val="44"/>
          <w:lang w:val="en-US" w:eastAsia="zh-CN"/>
        </w:rPr>
      </w:pPr>
      <w:r>
        <w:rPr>
          <w:rFonts w:hint="eastAsia" w:ascii="黑体" w:eastAsia="黑体"/>
          <w:b w:val="0"/>
          <w:szCs w:val="44"/>
          <w:lang w:val="en-US" w:eastAsia="zh-CN"/>
        </w:rPr>
        <w:t>2025年</w:t>
      </w:r>
      <w:r>
        <w:rPr>
          <w:rFonts w:hint="eastAsia" w:ascii="黑体" w:eastAsia="黑体"/>
          <w:b w:val="0"/>
          <w:szCs w:val="44"/>
        </w:rPr>
        <w:t>项目绩效目标</w:t>
      </w:r>
      <w:r>
        <w:rPr>
          <w:rFonts w:hint="eastAsia" w:ascii="黑体" w:eastAsia="黑体"/>
          <w:b w:val="0"/>
          <w:szCs w:val="44"/>
          <w:lang w:eastAsia="zh-CN"/>
        </w:rPr>
        <w:t>表</w:t>
      </w:r>
    </w:p>
    <w:p>
      <w:pPr>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sz w:val="21"/>
          <w:szCs w:val="21"/>
          <w:lang w:val="en-US" w:eastAsia="zh-CN"/>
        </w:rPr>
        <w:t xml:space="preserve"> </w:t>
      </w:r>
      <w:r>
        <w:rPr>
          <w:rFonts w:hint="eastAsia"/>
          <w:lang w:val="en-US" w:eastAsia="zh-CN"/>
        </w:rPr>
        <w:t xml:space="preserve">                                                               资金</w:t>
      </w:r>
      <w:r>
        <w:rPr>
          <w:rFonts w:hint="eastAsia" w:ascii="仿宋_GB2312" w:hAnsi="仿宋_GB2312" w:eastAsia="仿宋_GB2312" w:cs="仿宋_GB2312"/>
          <w:lang w:val="en-US" w:eastAsia="zh-CN"/>
        </w:rPr>
        <w:t>单位：万元</w:t>
      </w:r>
    </w:p>
    <w:tbl>
      <w:tblPr>
        <w:tblStyle w:val="3"/>
        <w:tblW w:w="8844" w:type="dxa"/>
        <w:tblInd w:w="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6"/>
        <w:gridCol w:w="1146"/>
        <w:gridCol w:w="1147"/>
        <w:gridCol w:w="952"/>
        <w:gridCol w:w="1146"/>
        <w:gridCol w:w="1146"/>
        <w:gridCol w:w="1146"/>
        <w:gridCol w:w="1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项目名称</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eastAsia="zh-CN"/>
              </w:rPr>
              <w:t>城管执法办案经费</w:t>
            </w:r>
            <w:r>
              <w:rPr>
                <w:rFonts w:hint="eastAsia" w:ascii="仿宋_GB2312" w:hAnsi="Arial" w:eastAsia="仿宋_GB2312" w:cs="Arial"/>
                <w:color w:val="000000"/>
                <w:kern w:val="0"/>
                <w:sz w:val="24"/>
                <w:szCs w:val="24"/>
              </w:rPr>
              <w:t>　</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项目编码</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val="0"/>
              <w:suppressLineNumbers w:val="0"/>
              <w:spacing w:before="0" w:beforeAutospacing="0" w:after="0" w:afterAutospacing="0"/>
              <w:ind w:left="0" w:right="0"/>
              <w:jc w:val="both"/>
              <w:rPr>
                <w:rFonts w:ascii="仿宋_GB2312" w:hAnsi="Arial" w:eastAsia="仿宋_GB2312" w:cs="Arial"/>
                <w:color w:val="000000"/>
                <w:kern w:val="0"/>
                <w:sz w:val="24"/>
                <w:szCs w:val="24"/>
              </w:rPr>
            </w:pPr>
            <w:r>
              <w:rPr>
                <w:rFonts w:hint="default" w:ascii="仿宋_GB2312" w:hAnsi="Arial" w:eastAsia="仿宋_GB2312" w:cs="仿宋_GB2312"/>
                <w:color w:val="000000"/>
                <w:kern w:val="0"/>
                <w:sz w:val="24"/>
                <w:szCs w:val="24"/>
                <w:lang w:val="en-US" w:eastAsia="zh-CN" w:bidi="ar"/>
              </w:rPr>
              <w:t xml:space="preserve">42011425062T000000122 </w:t>
            </w:r>
            <w:r>
              <w:rPr>
                <w:rFonts w:hint="eastAsia" w:ascii="仿宋_GB2312" w:hAnsi="Arial"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项目主管部门</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val="0"/>
              <w:suppressLineNumbers w:val="0"/>
              <w:spacing w:before="0" w:beforeAutospacing="0" w:after="0" w:afterAutospacing="0"/>
              <w:ind w:left="0" w:right="0"/>
              <w:jc w:val="both"/>
              <w:rPr>
                <w:rFonts w:ascii="仿宋_GB2312" w:hAnsi="Arial" w:eastAsia="仿宋_GB2312" w:cs="Arial"/>
                <w:color w:val="000000"/>
                <w:kern w:val="0"/>
                <w:sz w:val="24"/>
                <w:szCs w:val="24"/>
              </w:rPr>
            </w:pPr>
            <w:r>
              <w:rPr>
                <w:rFonts w:hint="default" w:ascii="仿宋_GB2312" w:hAnsi="Arial" w:eastAsia="仿宋_GB2312" w:cs="Arial"/>
                <w:color w:val="000000"/>
                <w:kern w:val="0"/>
                <w:sz w:val="24"/>
                <w:szCs w:val="24"/>
                <w:lang w:val="en-US" w:eastAsia="zh-CN"/>
              </w:rPr>
              <w:t>武汉市蔡甸区城市管理执法局</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项目执行单位</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val="0"/>
              <w:suppressLineNumbers w:val="0"/>
              <w:spacing w:before="0" w:beforeAutospacing="0" w:after="0" w:afterAutospacing="0"/>
              <w:ind w:left="0" w:right="0"/>
              <w:jc w:val="both"/>
              <w:rPr>
                <w:rFonts w:ascii="仿宋_GB2312" w:hAnsi="Arial" w:eastAsia="仿宋_GB2312" w:cs="Arial"/>
                <w:color w:val="000000"/>
                <w:kern w:val="0"/>
                <w:sz w:val="24"/>
                <w:szCs w:val="24"/>
              </w:rPr>
            </w:pPr>
            <w:r>
              <w:rPr>
                <w:rFonts w:hint="default" w:ascii="仿宋_GB2312" w:hAnsi="Arial" w:eastAsia="仿宋_GB2312" w:cs="仿宋_GB2312"/>
                <w:color w:val="000000"/>
                <w:kern w:val="0"/>
                <w:sz w:val="24"/>
                <w:szCs w:val="24"/>
                <w:lang w:val="en-US" w:eastAsia="zh-CN" w:bidi="ar"/>
              </w:rPr>
              <w:t>武汉市蔡甸区城市管理综合执法大队</w:t>
            </w:r>
            <w:r>
              <w:rPr>
                <w:rFonts w:hint="eastAsia" w:ascii="仿宋_GB2312" w:hAnsi="Arial"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项目负责人</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val="0"/>
              <w:suppressLineNumbers w:val="0"/>
              <w:spacing w:before="0" w:beforeAutospacing="0" w:after="0" w:afterAutospacing="0"/>
              <w:ind w:left="0" w:right="0"/>
              <w:jc w:val="both"/>
              <w:rPr>
                <w:rFonts w:ascii="仿宋_GB2312" w:hAnsi="Arial" w:eastAsia="仿宋_GB2312" w:cs="Arial"/>
                <w:color w:val="000000"/>
                <w:kern w:val="0"/>
                <w:sz w:val="24"/>
                <w:szCs w:val="24"/>
              </w:rPr>
            </w:pPr>
            <w:r>
              <w:rPr>
                <w:rFonts w:hint="default" w:ascii="仿宋_GB2312" w:hAnsi="Arial" w:eastAsia="仿宋_GB2312" w:cs="仿宋_GB2312"/>
                <w:color w:val="000000"/>
                <w:kern w:val="0"/>
                <w:sz w:val="24"/>
                <w:szCs w:val="24"/>
                <w:lang w:val="en-US" w:eastAsia="zh-CN" w:bidi="ar"/>
              </w:rPr>
              <w:t>张超</w:t>
            </w:r>
            <w:r>
              <w:rPr>
                <w:rFonts w:hint="eastAsia" w:ascii="仿宋_GB2312" w:hAnsi="Arial" w:eastAsia="仿宋_GB2312" w:cs="Arial"/>
                <w:color w:val="000000"/>
                <w:kern w:val="0"/>
                <w:sz w:val="24"/>
                <w:szCs w:val="24"/>
              </w:rPr>
              <w:t>　</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联系电话</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val="0"/>
              <w:suppressLineNumbers w:val="0"/>
              <w:spacing w:before="0" w:beforeAutospacing="0" w:after="0" w:afterAutospacing="0"/>
              <w:ind w:left="0" w:right="0"/>
              <w:jc w:val="both"/>
              <w:rPr>
                <w:rFonts w:ascii="仿宋_GB2312" w:hAnsi="Arial" w:eastAsia="仿宋_GB2312" w:cs="Arial"/>
                <w:color w:val="000000"/>
                <w:kern w:val="0"/>
                <w:sz w:val="24"/>
                <w:szCs w:val="24"/>
              </w:rPr>
            </w:pPr>
            <w:r>
              <w:rPr>
                <w:rFonts w:hint="default" w:ascii="仿宋_GB2312" w:hAnsi="Arial" w:eastAsia="仿宋_GB2312" w:cs="仿宋_GB2312"/>
                <w:color w:val="000000"/>
                <w:kern w:val="0"/>
                <w:sz w:val="24"/>
                <w:szCs w:val="24"/>
                <w:lang w:val="en-US" w:eastAsia="zh-CN" w:bidi="ar"/>
              </w:rPr>
              <w:t xml:space="preserve">84943381 </w:t>
            </w:r>
            <w:r>
              <w:rPr>
                <w:rFonts w:hint="eastAsia" w:ascii="仿宋_GB2312" w:hAnsi="Arial"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项目属性</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val="0"/>
              <w:suppressLineNumbers w:val="0"/>
              <w:spacing w:before="0" w:beforeAutospacing="0" w:after="0" w:afterAutospacing="0"/>
              <w:ind w:left="0" w:right="0"/>
              <w:jc w:val="both"/>
              <w:rPr>
                <w:rFonts w:ascii="仿宋_GB2312" w:hAnsi="Arial" w:eastAsia="仿宋_GB2312" w:cs="Arial"/>
                <w:color w:val="000000"/>
                <w:kern w:val="0"/>
                <w:sz w:val="24"/>
                <w:szCs w:val="24"/>
              </w:rPr>
            </w:pPr>
            <w:r>
              <w:rPr>
                <w:rFonts w:hint="default" w:ascii="仿宋_GB2312" w:hAnsi="Arial" w:eastAsia="仿宋_GB2312" w:cs="Arial"/>
                <w:color w:val="000000"/>
                <w:kern w:val="0"/>
                <w:sz w:val="24"/>
                <w:szCs w:val="24"/>
                <w:lang w:val="en-US" w:eastAsia="zh-CN"/>
              </w:rPr>
              <w:t>持续性项目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支出项目类别</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val="0"/>
              <w:suppressLineNumbers w:val="0"/>
              <w:spacing w:before="0" w:beforeAutospacing="0" w:after="0" w:afterAutospacing="0"/>
              <w:ind w:left="0" w:right="0"/>
              <w:jc w:val="both"/>
              <w:rPr>
                <w:rFonts w:ascii="仿宋_GB2312" w:hAnsi="Arial" w:eastAsia="仿宋_GB2312" w:cs="Arial"/>
                <w:color w:val="000000"/>
                <w:kern w:val="0"/>
                <w:sz w:val="24"/>
                <w:szCs w:val="24"/>
              </w:rPr>
            </w:pPr>
            <w:bookmarkStart w:id="0" w:name="_GoBack"/>
            <w:bookmarkEnd w:id="0"/>
            <w:r>
              <w:rPr>
                <w:rFonts w:hint="default" w:ascii="仿宋_GB2312" w:hAnsi="Arial" w:eastAsia="仿宋_GB2312" w:cs="仿宋_GB2312"/>
                <w:color w:val="000000"/>
                <w:kern w:val="0"/>
                <w:sz w:val="24"/>
                <w:szCs w:val="24"/>
                <w:lang w:val="en-US" w:eastAsia="zh-CN" w:bidi="ar"/>
              </w:rPr>
              <w:t>本级项目支出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起始年度</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2025</w:t>
            </w:r>
            <w:r>
              <w:rPr>
                <w:rFonts w:hint="eastAsia" w:ascii="仿宋_GB2312" w:hAnsi="Arial" w:eastAsia="仿宋_GB2312" w:cs="Arial"/>
                <w:color w:val="000000"/>
                <w:kern w:val="0"/>
                <w:sz w:val="24"/>
                <w:szCs w:val="24"/>
              </w:rPr>
              <w:t>　</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终止年度</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2025</w:t>
            </w:r>
            <w:r>
              <w:rPr>
                <w:rFonts w:hint="eastAsia" w:ascii="仿宋_GB2312" w:hAnsi="Arial"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项目立项依据</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《2024年武汉市城管执法工作要点的通知》；</w:t>
            </w:r>
          </w:p>
          <w:p>
            <w:pPr>
              <w:widowControl/>
              <w:snapToGrid w:val="0"/>
              <w:jc w:val="left"/>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《区人民政府关于印发蔡甸区建筑垃圾管理办法的通知》蔡政规[2024]2号；</w:t>
            </w:r>
          </w:p>
          <w:p>
            <w:pPr>
              <w:widowControl/>
              <w:snapToGrid w:val="0"/>
              <w:jc w:val="left"/>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《武汉市新城区建筑弃土绩效考核方案》；</w:t>
            </w:r>
          </w:p>
          <w:p>
            <w:pPr>
              <w:widowControl/>
              <w:snapToGrid w:val="0"/>
              <w:jc w:val="left"/>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《市城管执法委关于进一步做好燃气安全夜勤制工作的通知》；</w:t>
            </w:r>
          </w:p>
          <w:p>
            <w:pPr>
              <w:widowControl/>
              <w:snapToGrid w:val="0"/>
              <w:jc w:val="left"/>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《湖北省城镇燃气安全专项整治燃气管部门专项方案》；</w:t>
            </w:r>
          </w:p>
          <w:p>
            <w:pPr>
              <w:widowControl/>
              <w:snapToGrid w:val="0"/>
              <w:jc w:val="left"/>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《市城镇燃气专委办公室关于加强燃气行业安全隐患排查整治的紧急通知》；</w:t>
            </w:r>
          </w:p>
          <w:p>
            <w:pPr>
              <w:widowControl/>
              <w:snapToGrid w:val="0"/>
              <w:jc w:val="left"/>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《市城管执法委关于推进全市500处规范外摆经营点位工作方案的通知》；</w:t>
            </w:r>
          </w:p>
          <w:p>
            <w:pPr>
              <w:widowControl/>
              <w:snapToGrid w:val="0"/>
              <w:jc w:val="left"/>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《市城管执法委关于2024年全市占道经营专项整治工作方案的通知》；</w:t>
            </w:r>
          </w:p>
          <w:p>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区环委会关于印发《蔡甸区2024年空气质量持续改善行动实施方案》《蔡甸区2024年水环境质量提升攻坚工作方案》的通知 蔡环委办[2024]4号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项目实施方案</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 xml:space="preserve">蔡甸区城管综合执法大队负责全区城管执法队伍建设管理工作、负责全区执法队伍协调、检查、督察、考核、业务指导；承担其他重点区域及事项的综合执法工作；承办上级交办的其他事项。对接市城管执法委及市级专项执法工作专班，包括执法监督平台考核与管理、建筑渣土、道路扬尘、规范外摆点位等重点专项任务推进情况的督察督办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项目总预算</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350</w:t>
            </w:r>
            <w:r>
              <w:rPr>
                <w:rFonts w:hint="eastAsia" w:ascii="仿宋_GB2312" w:hAnsi="Arial" w:eastAsia="仿宋_GB2312" w:cs="Arial"/>
                <w:color w:val="000000"/>
                <w:kern w:val="0"/>
                <w:sz w:val="24"/>
                <w:szCs w:val="24"/>
              </w:rPr>
              <w:t>　</w:t>
            </w:r>
          </w:p>
        </w:tc>
        <w:tc>
          <w:tcPr>
            <w:tcW w:w="2292"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项目当年预算</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lang w:val="en-US" w:eastAsia="zh-CN"/>
              </w:rPr>
              <w:t>350</w:t>
            </w:r>
            <w:r>
              <w:rPr>
                <w:rFonts w:hint="eastAsia" w:ascii="仿宋_GB2312" w:hAnsi="Arial"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项目前两年预算及当年预算变动情况</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Arial" w:eastAsia="仿宋_GB2312" w:cs="Arial"/>
                <w:color w:val="000000"/>
                <w:kern w:val="0"/>
                <w:sz w:val="24"/>
                <w:szCs w:val="24"/>
              </w:rPr>
            </w:pPr>
            <w:r>
              <w:rPr>
                <w:rFonts w:hint="default" w:ascii="仿宋_GB2312" w:hAnsi="Arial" w:eastAsia="仿宋_GB2312" w:cs="Arial"/>
                <w:color w:val="000000"/>
                <w:kern w:val="0"/>
                <w:sz w:val="24"/>
                <w:szCs w:val="24"/>
                <w:lang w:val="en-US" w:eastAsia="zh-CN"/>
              </w:rPr>
              <w:t>2024年7月因机构改革成立城管综合执法大队，2025年预算为350万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项目资金来源</w:t>
            </w: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来源项目</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合计</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lang w:val="en-US" w:eastAsia="zh-CN"/>
              </w:rPr>
              <w:t>350</w:t>
            </w:r>
            <w:r>
              <w:rPr>
                <w:rFonts w:hint="eastAsia" w:ascii="仿宋_GB2312"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一般公共预算财政拨款</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lang w:val="en-US" w:eastAsia="zh-CN"/>
              </w:rPr>
              <w:t>350</w:t>
            </w:r>
            <w:r>
              <w:rPr>
                <w:rFonts w:hint="eastAsia" w:ascii="仿宋_GB2312"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其中：申请当年预算拨款</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政府性基金预算财政拨款</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财政专户管理资金</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ascii="仿宋_GB2312" w:hAnsi="Arial" w:eastAsia="仿宋_GB2312" w:cs="Arial"/>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单位资金</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292"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4"/>
                <w:szCs w:val="24"/>
              </w:rPr>
            </w:pPr>
          </w:p>
        </w:tc>
        <w:tc>
          <w:tcPr>
            <w:tcW w:w="4391"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 xml:space="preserve">  其中：使用上年度财政拨款结转</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项目活动</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活动内容</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表述</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支出经济</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分类</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金额</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测算依据及说明</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default" w:ascii="仿宋_GB2312" w:hAnsi="宋体" w:eastAsia="仿宋_GB2312" w:cs="Arial"/>
                <w:color w:val="000000"/>
                <w:kern w:val="0"/>
                <w:sz w:val="24"/>
                <w:szCs w:val="24"/>
                <w:lang w:val="en-US" w:eastAsia="zh-CN"/>
              </w:rPr>
              <w:t>城管执法综合保障经费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重大活动和节假日环境综合整治及执法保障；应急保障</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default" w:ascii="仿宋_GB2312" w:hAnsi="宋体" w:eastAsia="仿宋_GB2312" w:cs="Arial"/>
                <w:color w:val="000000"/>
                <w:kern w:val="0"/>
                <w:sz w:val="24"/>
                <w:szCs w:val="24"/>
                <w:lang w:val="en-US" w:eastAsia="zh-CN"/>
              </w:rPr>
              <w:t>30299-其他商品和服务支出</w:t>
            </w:r>
          </w:p>
          <w:p>
            <w:pPr>
              <w:widowControl/>
              <w:snapToGrid w:val="0"/>
              <w:jc w:val="left"/>
              <w:rPr>
                <w:rFonts w:ascii="仿宋_GB2312" w:hAnsi="宋体" w:eastAsia="仿宋_GB2312" w:cs="Arial"/>
                <w:color w:val="000000"/>
                <w:kern w:val="0"/>
                <w:sz w:val="24"/>
                <w:szCs w:val="24"/>
              </w:rPr>
            </w:pP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60</w:t>
            </w:r>
            <w:r>
              <w:rPr>
                <w:rFonts w:hint="eastAsia" w:ascii="仿宋_GB2312" w:hAnsi="宋体" w:eastAsia="仿宋_GB2312" w:cs="Arial"/>
                <w:color w:val="000000"/>
                <w:kern w:val="0"/>
                <w:sz w:val="24"/>
                <w:szCs w:val="24"/>
              </w:rPr>
              <w:t>　</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w:t>
            </w:r>
            <w:r>
              <w:rPr>
                <w:rFonts w:hint="default" w:ascii="仿宋_GB2312" w:hAnsi="宋体" w:eastAsia="仿宋_GB2312" w:cs="Arial"/>
                <w:color w:val="000000"/>
                <w:kern w:val="0"/>
                <w:sz w:val="24"/>
                <w:szCs w:val="24"/>
                <w:lang w:val="en-US" w:eastAsia="zh-CN"/>
              </w:rPr>
              <w:t>重大活动及节假日综合整治执法保障经费15万；</w:t>
            </w:r>
          </w:p>
          <w:p>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2.</w:t>
            </w:r>
            <w:r>
              <w:rPr>
                <w:rFonts w:hint="default" w:ascii="仿宋_GB2312" w:hAnsi="宋体" w:eastAsia="仿宋_GB2312" w:cs="Arial"/>
                <w:color w:val="000000"/>
                <w:kern w:val="0"/>
                <w:sz w:val="24"/>
                <w:szCs w:val="24"/>
                <w:lang w:val="en-US" w:eastAsia="zh-CN"/>
              </w:rPr>
              <w:t>中、高考及防汛保障经费10万；</w:t>
            </w:r>
          </w:p>
          <w:p>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3.</w:t>
            </w:r>
            <w:r>
              <w:rPr>
                <w:rFonts w:hint="default" w:ascii="仿宋_GB2312" w:hAnsi="宋体" w:eastAsia="仿宋_GB2312" w:cs="Arial"/>
                <w:color w:val="000000"/>
                <w:kern w:val="0"/>
                <w:sz w:val="24"/>
                <w:szCs w:val="24"/>
                <w:lang w:val="en-US" w:eastAsia="zh-CN"/>
              </w:rPr>
              <w:t>全区综合执法保障经费20万；</w:t>
            </w:r>
          </w:p>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4.</w:t>
            </w:r>
            <w:r>
              <w:rPr>
                <w:rFonts w:hint="default" w:ascii="仿宋_GB2312" w:hAnsi="宋体" w:eastAsia="仿宋_GB2312" w:cs="Arial"/>
                <w:color w:val="000000"/>
                <w:kern w:val="0"/>
                <w:sz w:val="24"/>
                <w:szCs w:val="24"/>
                <w:lang w:val="en-US" w:eastAsia="zh-CN"/>
              </w:rPr>
              <w:t xml:space="preserve">应急保障经费15万 </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城管队伍规范化建设</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全区城管执法规范化建设</w:t>
            </w:r>
            <w:r>
              <w:rPr>
                <w:rFonts w:hint="eastAsia" w:ascii="仿宋_GB2312" w:hAnsi="宋体" w:eastAsia="仿宋_GB2312" w:cs="Arial"/>
                <w:color w:val="000000"/>
                <w:kern w:val="0"/>
                <w:sz w:val="24"/>
                <w:szCs w:val="24"/>
              </w:rPr>
              <w:t>　</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30299-其他商品和服务支出</w:t>
            </w:r>
            <w:r>
              <w:rPr>
                <w:rFonts w:hint="eastAsia" w:ascii="仿宋_GB2312" w:hAnsi="宋体" w:eastAsia="仿宋_GB2312" w:cs="Arial"/>
                <w:color w:val="000000"/>
                <w:kern w:val="0"/>
                <w:sz w:val="24"/>
                <w:szCs w:val="24"/>
              </w:rPr>
              <w:t>　</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46</w:t>
            </w:r>
            <w:r>
              <w:rPr>
                <w:rFonts w:hint="eastAsia" w:ascii="仿宋_GB2312" w:hAnsi="宋体" w:eastAsia="仿宋_GB2312" w:cs="Arial"/>
                <w:color w:val="000000"/>
                <w:kern w:val="0"/>
                <w:sz w:val="24"/>
                <w:szCs w:val="24"/>
              </w:rPr>
              <w:t>　</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numPr>
                <w:numId w:val="0"/>
              </w:numPr>
              <w:suppressLineNumbers w:val="0"/>
              <w:snapToGrid w:val="0"/>
              <w:spacing w:before="0" w:beforeAutospacing="0" w:after="0" w:afterAutospacing="0"/>
              <w:ind w:leftChars="0" w:right="0" w:rightChars="0"/>
              <w:jc w:val="left"/>
              <w:rPr>
                <w:rFonts w:hint="default" w:ascii="仿宋_GB2312" w:hAnsi="宋体" w:eastAsia="仿宋_GB2312" w:cs="Arial"/>
                <w:color w:val="000000"/>
                <w:kern w:val="0"/>
                <w:sz w:val="24"/>
                <w:szCs w:val="24"/>
              </w:rPr>
            </w:pPr>
            <w:r>
              <w:rPr>
                <w:rFonts w:hint="eastAsia" w:ascii="仿宋_GB2312" w:hAnsi="宋体" w:eastAsia="仿宋_GB2312" w:cs="仿宋_GB2312"/>
                <w:color w:val="000000"/>
                <w:kern w:val="0"/>
                <w:sz w:val="24"/>
                <w:szCs w:val="24"/>
                <w:lang w:val="en-US" w:eastAsia="zh-CN" w:bidi="ar"/>
              </w:rPr>
              <w:t>1.</w:t>
            </w:r>
            <w:r>
              <w:rPr>
                <w:rFonts w:hint="default" w:ascii="仿宋_GB2312" w:hAnsi="宋体" w:eastAsia="仿宋_GB2312" w:cs="仿宋_GB2312"/>
                <w:color w:val="000000"/>
                <w:kern w:val="0"/>
                <w:sz w:val="24"/>
                <w:szCs w:val="24"/>
                <w:lang w:val="en-US" w:eastAsia="zh-CN" w:bidi="ar"/>
              </w:rPr>
              <w:t>城管执法正规划建设10万；</w:t>
            </w:r>
          </w:p>
          <w:p>
            <w:pPr>
              <w:keepNext w:val="0"/>
              <w:keepLines w:val="0"/>
              <w:widowControl/>
              <w:numPr>
                <w:numId w:val="0"/>
              </w:numPr>
              <w:suppressLineNumbers w:val="0"/>
              <w:snapToGrid w:val="0"/>
              <w:spacing w:before="0" w:beforeAutospacing="0" w:after="0" w:afterAutospacing="0"/>
              <w:ind w:leftChars="0" w:right="0" w:rightChars="0"/>
              <w:jc w:val="left"/>
              <w:rPr>
                <w:rFonts w:hint="default" w:ascii="仿宋_GB2312" w:hAnsi="宋体" w:eastAsia="仿宋_GB2312" w:cs="Arial"/>
                <w:color w:val="000000"/>
                <w:kern w:val="0"/>
                <w:sz w:val="24"/>
                <w:szCs w:val="24"/>
              </w:rPr>
            </w:pPr>
            <w:r>
              <w:rPr>
                <w:rFonts w:hint="eastAsia" w:ascii="仿宋_GB2312" w:hAnsi="宋体" w:eastAsia="仿宋_GB2312" w:cs="仿宋_GB2312"/>
                <w:color w:val="000000"/>
                <w:kern w:val="0"/>
                <w:sz w:val="24"/>
                <w:szCs w:val="24"/>
                <w:lang w:val="en-US" w:eastAsia="zh-CN" w:bidi="ar"/>
              </w:rPr>
              <w:t>2.</w:t>
            </w:r>
            <w:r>
              <w:rPr>
                <w:rFonts w:hint="default" w:ascii="仿宋_GB2312" w:hAnsi="宋体" w:eastAsia="仿宋_GB2312" w:cs="仿宋_GB2312"/>
                <w:color w:val="000000"/>
                <w:kern w:val="0"/>
                <w:sz w:val="24"/>
                <w:szCs w:val="24"/>
                <w:lang w:val="en-US" w:eastAsia="zh-CN" w:bidi="ar"/>
              </w:rPr>
              <w:t>队列训练9万；</w:t>
            </w:r>
          </w:p>
          <w:p>
            <w:pPr>
              <w:keepNext w:val="0"/>
              <w:keepLines w:val="0"/>
              <w:widowControl/>
              <w:numPr>
                <w:numId w:val="0"/>
              </w:numPr>
              <w:suppressLineNumbers w:val="0"/>
              <w:snapToGrid w:val="0"/>
              <w:spacing w:before="0" w:beforeAutospacing="0" w:after="0" w:afterAutospacing="0"/>
              <w:ind w:leftChars="0" w:right="0" w:rightChars="0"/>
              <w:jc w:val="left"/>
            </w:pPr>
            <w:r>
              <w:rPr>
                <w:rFonts w:hint="eastAsia" w:ascii="仿宋_GB2312" w:hAnsi="宋体" w:eastAsia="仿宋_GB2312" w:cs="仿宋_GB2312"/>
                <w:color w:val="000000"/>
                <w:kern w:val="0"/>
                <w:sz w:val="24"/>
                <w:szCs w:val="24"/>
                <w:lang w:val="en-US" w:eastAsia="zh-CN" w:bidi="ar"/>
              </w:rPr>
              <w:t>3.</w:t>
            </w:r>
            <w:r>
              <w:rPr>
                <w:rFonts w:hint="default" w:ascii="仿宋_GB2312" w:hAnsi="宋体" w:eastAsia="仿宋_GB2312" w:cs="仿宋_GB2312"/>
                <w:color w:val="000000"/>
                <w:kern w:val="0"/>
                <w:sz w:val="24"/>
                <w:szCs w:val="24"/>
                <w:lang w:val="en-US" w:eastAsia="zh-CN" w:bidi="ar"/>
              </w:rPr>
              <w:t>人员培训17万；</w:t>
            </w:r>
          </w:p>
          <w:p>
            <w:pPr>
              <w:keepNext w:val="0"/>
              <w:keepLines w:val="0"/>
              <w:widowControl/>
              <w:numPr>
                <w:numId w:val="0"/>
              </w:numPr>
              <w:suppressLineNumbers w:val="0"/>
              <w:snapToGrid w:val="0"/>
              <w:spacing w:before="0" w:beforeAutospacing="0" w:after="0" w:afterAutospacing="0"/>
              <w:ind w:leftChars="0" w:right="0" w:rightChars="0"/>
              <w:jc w:val="left"/>
              <w:rPr>
                <w:rFonts w:ascii="仿宋_GB2312" w:hAnsi="宋体" w:eastAsia="仿宋_GB2312" w:cs="Arial"/>
                <w:color w:val="000000"/>
                <w:kern w:val="0"/>
                <w:sz w:val="24"/>
                <w:szCs w:val="24"/>
              </w:rPr>
            </w:pPr>
            <w:r>
              <w:rPr>
                <w:rFonts w:hint="eastAsia" w:ascii="仿宋_GB2312" w:hAnsi="宋体" w:eastAsia="仿宋_GB2312" w:cs="仿宋_GB2312"/>
                <w:color w:val="000000"/>
                <w:kern w:val="0"/>
                <w:sz w:val="24"/>
                <w:szCs w:val="24"/>
                <w:lang w:val="en-US" w:eastAsia="zh-CN" w:bidi="ar"/>
              </w:rPr>
              <w:t>4.</w:t>
            </w:r>
            <w:r>
              <w:rPr>
                <w:rFonts w:hint="default" w:ascii="仿宋_GB2312" w:hAnsi="宋体" w:eastAsia="仿宋_GB2312" w:cs="仿宋_GB2312"/>
                <w:color w:val="000000"/>
                <w:kern w:val="0"/>
                <w:sz w:val="24"/>
                <w:szCs w:val="24"/>
                <w:lang w:val="en-US" w:eastAsia="zh-CN" w:bidi="ar"/>
              </w:rPr>
              <w:t>执法案卷规范整理10万</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val="0"/>
              <w:suppressLineNumbers w:val="0"/>
              <w:spacing w:before="0" w:beforeAutospacing="0" w:after="0" w:afterAutospacing="0"/>
              <w:ind w:left="0" w:right="0"/>
              <w:jc w:val="both"/>
              <w:rPr>
                <w:rFonts w:ascii="仿宋_GB2312" w:hAnsi="宋体" w:eastAsia="仿宋_GB2312" w:cs="Arial"/>
                <w:color w:val="000000"/>
                <w:kern w:val="0"/>
                <w:sz w:val="24"/>
                <w:szCs w:val="24"/>
              </w:rPr>
            </w:pPr>
            <w:r>
              <w:rPr>
                <w:rFonts w:hint="default" w:ascii="仿宋_GB2312" w:hAnsi="宋体" w:eastAsia="仿宋_GB2312" w:cs="仿宋_GB2312"/>
                <w:color w:val="000000"/>
                <w:kern w:val="0"/>
                <w:sz w:val="24"/>
                <w:szCs w:val="24"/>
                <w:lang w:val="en-US" w:eastAsia="zh-CN" w:bidi="ar"/>
              </w:rPr>
              <w:t>执法办案</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城管综合执法大队承接所有考核及执法事项</w:t>
            </w:r>
            <w:r>
              <w:rPr>
                <w:rFonts w:hint="eastAsia" w:ascii="仿宋_GB2312" w:hAnsi="宋体" w:eastAsia="仿宋_GB2312" w:cs="Arial"/>
                <w:color w:val="000000"/>
                <w:kern w:val="0"/>
                <w:sz w:val="24"/>
                <w:szCs w:val="24"/>
              </w:rPr>
              <w:t>　</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30299-其他商品和服务支出</w:t>
            </w:r>
            <w:r>
              <w:rPr>
                <w:rFonts w:hint="eastAsia" w:ascii="仿宋_GB2312" w:hAnsi="宋体" w:eastAsia="仿宋_GB2312" w:cs="Arial"/>
                <w:color w:val="000000"/>
                <w:kern w:val="0"/>
                <w:sz w:val="24"/>
                <w:szCs w:val="24"/>
              </w:rPr>
              <w:t>　</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153</w:t>
            </w:r>
            <w:r>
              <w:rPr>
                <w:rFonts w:hint="eastAsia" w:ascii="仿宋_GB2312" w:hAnsi="宋体" w:eastAsia="仿宋_GB2312" w:cs="Arial"/>
                <w:color w:val="000000"/>
                <w:kern w:val="0"/>
                <w:sz w:val="24"/>
                <w:szCs w:val="24"/>
              </w:rPr>
              <w:t>　</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numPr>
                <w:numId w:val="0"/>
              </w:numPr>
              <w:suppressLineNumbers w:val="0"/>
              <w:snapToGrid w:val="0"/>
              <w:spacing w:before="0" w:beforeAutospacing="0" w:after="0" w:afterAutospacing="0"/>
              <w:ind w:leftChars="0" w:right="0" w:rightChars="0"/>
              <w:jc w:val="left"/>
              <w:rPr>
                <w:rFonts w:hint="default" w:ascii="仿宋_GB2312" w:hAnsi="宋体" w:eastAsia="仿宋_GB2312" w:cs="Arial"/>
                <w:color w:val="000000"/>
                <w:kern w:val="0"/>
                <w:sz w:val="24"/>
                <w:szCs w:val="24"/>
              </w:rPr>
            </w:pPr>
            <w:r>
              <w:rPr>
                <w:rFonts w:hint="eastAsia" w:ascii="仿宋_GB2312" w:hAnsi="宋体" w:eastAsia="仿宋_GB2312" w:cs="仿宋_GB2312"/>
                <w:color w:val="000000"/>
                <w:kern w:val="0"/>
                <w:sz w:val="24"/>
                <w:szCs w:val="24"/>
                <w:lang w:val="en-US" w:eastAsia="zh-CN" w:bidi="ar"/>
              </w:rPr>
              <w:t>1.</w:t>
            </w:r>
            <w:r>
              <w:rPr>
                <w:rFonts w:hint="default" w:ascii="仿宋_GB2312" w:hAnsi="宋体" w:eastAsia="仿宋_GB2312" w:cs="仿宋_GB2312"/>
                <w:color w:val="000000"/>
                <w:kern w:val="0"/>
                <w:sz w:val="24"/>
                <w:szCs w:val="24"/>
                <w:lang w:val="en-US" w:eastAsia="zh-CN" w:bidi="ar"/>
              </w:rPr>
              <w:t>法律咨询和案件诉讼代理费15万</w:t>
            </w:r>
          </w:p>
          <w:p>
            <w:pPr>
              <w:keepNext w:val="0"/>
              <w:keepLines w:val="0"/>
              <w:widowControl/>
              <w:numPr>
                <w:numId w:val="0"/>
              </w:numPr>
              <w:suppressLineNumbers w:val="0"/>
              <w:snapToGrid w:val="0"/>
              <w:spacing w:before="0" w:beforeAutospacing="0" w:after="0" w:afterAutospacing="0"/>
              <w:ind w:leftChars="0" w:right="0" w:rightChars="0"/>
              <w:jc w:val="left"/>
              <w:rPr>
                <w:rFonts w:hint="default" w:ascii="仿宋_GB2312" w:hAnsi="宋体" w:eastAsia="仿宋_GB2312" w:cs="Arial"/>
                <w:color w:val="000000"/>
                <w:kern w:val="0"/>
                <w:sz w:val="24"/>
                <w:szCs w:val="24"/>
              </w:rPr>
            </w:pPr>
            <w:r>
              <w:rPr>
                <w:rFonts w:hint="eastAsia" w:ascii="仿宋_GB2312" w:hAnsi="宋体" w:eastAsia="仿宋_GB2312" w:cs="仿宋_GB2312"/>
                <w:color w:val="000000"/>
                <w:kern w:val="0"/>
                <w:sz w:val="24"/>
                <w:szCs w:val="24"/>
                <w:lang w:val="en-US" w:eastAsia="zh-CN" w:bidi="ar"/>
              </w:rPr>
              <w:t>2.</w:t>
            </w:r>
            <w:r>
              <w:rPr>
                <w:rFonts w:hint="default" w:ascii="仿宋_GB2312" w:hAnsi="宋体" w:eastAsia="仿宋_GB2312" w:cs="仿宋_GB2312"/>
                <w:color w:val="000000"/>
                <w:kern w:val="0"/>
                <w:sz w:val="24"/>
                <w:szCs w:val="24"/>
                <w:lang w:val="en-US" w:eastAsia="zh-CN" w:bidi="ar"/>
              </w:rPr>
              <w:t>建筑垃圾执法岗亭及设备维护费用13万</w:t>
            </w:r>
          </w:p>
          <w:p>
            <w:pPr>
              <w:keepNext w:val="0"/>
              <w:keepLines w:val="0"/>
              <w:widowControl/>
              <w:numPr>
                <w:numId w:val="0"/>
              </w:numPr>
              <w:suppressLineNumbers w:val="0"/>
              <w:snapToGrid w:val="0"/>
              <w:spacing w:before="0" w:beforeAutospacing="0" w:after="0" w:afterAutospacing="0"/>
              <w:ind w:leftChars="0" w:right="0" w:rightChars="0"/>
              <w:jc w:val="left"/>
              <w:rPr>
                <w:rFonts w:hint="default" w:ascii="仿宋_GB2312" w:hAnsi="宋体" w:eastAsia="仿宋_GB2312" w:cs="Arial"/>
                <w:color w:val="000000"/>
                <w:kern w:val="0"/>
                <w:sz w:val="24"/>
                <w:szCs w:val="24"/>
              </w:rPr>
            </w:pPr>
            <w:r>
              <w:rPr>
                <w:rFonts w:hint="eastAsia" w:ascii="仿宋_GB2312" w:hAnsi="宋体" w:eastAsia="仿宋_GB2312" w:cs="仿宋_GB2312"/>
                <w:color w:val="000000"/>
                <w:kern w:val="0"/>
                <w:sz w:val="24"/>
                <w:szCs w:val="24"/>
                <w:lang w:val="en-US" w:eastAsia="zh-CN" w:bidi="ar"/>
              </w:rPr>
              <w:t>3.</w:t>
            </w:r>
            <w:r>
              <w:rPr>
                <w:rFonts w:hint="default" w:ascii="仿宋_GB2312" w:hAnsi="宋体" w:eastAsia="仿宋_GB2312" w:cs="仿宋_GB2312"/>
                <w:color w:val="000000"/>
                <w:kern w:val="0"/>
                <w:sz w:val="24"/>
                <w:szCs w:val="24"/>
                <w:lang w:val="en-US" w:eastAsia="zh-CN" w:bidi="ar"/>
              </w:rPr>
              <w:t>建筑垃圾治理执法经费20万</w:t>
            </w:r>
          </w:p>
          <w:p>
            <w:pPr>
              <w:keepNext w:val="0"/>
              <w:keepLines w:val="0"/>
              <w:widowControl/>
              <w:numPr>
                <w:numId w:val="0"/>
              </w:numPr>
              <w:suppressLineNumbers w:val="0"/>
              <w:snapToGrid w:val="0"/>
              <w:spacing w:before="0" w:beforeAutospacing="0" w:after="0" w:afterAutospacing="0"/>
              <w:ind w:leftChars="0" w:right="0" w:rightChars="0"/>
              <w:jc w:val="left"/>
              <w:rPr>
                <w:rFonts w:hint="default" w:ascii="仿宋_GB2312" w:hAnsi="宋体" w:eastAsia="仿宋_GB2312" w:cs="Arial"/>
                <w:color w:val="000000"/>
                <w:kern w:val="0"/>
                <w:sz w:val="24"/>
                <w:szCs w:val="24"/>
              </w:rPr>
            </w:pPr>
            <w:r>
              <w:rPr>
                <w:rFonts w:hint="eastAsia" w:ascii="仿宋_GB2312" w:hAnsi="宋体" w:eastAsia="仿宋_GB2312" w:cs="仿宋_GB2312"/>
                <w:color w:val="000000"/>
                <w:kern w:val="0"/>
                <w:sz w:val="24"/>
                <w:szCs w:val="24"/>
                <w:lang w:val="en-US" w:eastAsia="zh-CN" w:bidi="ar"/>
              </w:rPr>
              <w:t>4.</w:t>
            </w:r>
            <w:r>
              <w:rPr>
                <w:rFonts w:hint="default" w:ascii="仿宋_GB2312" w:hAnsi="宋体" w:eastAsia="仿宋_GB2312" w:cs="仿宋_GB2312"/>
                <w:color w:val="000000"/>
                <w:kern w:val="0"/>
                <w:sz w:val="24"/>
                <w:szCs w:val="24"/>
                <w:lang w:val="en-US" w:eastAsia="zh-CN" w:bidi="ar"/>
              </w:rPr>
              <w:t>燃气安全检查及执法经费20万</w:t>
            </w:r>
          </w:p>
          <w:p>
            <w:pPr>
              <w:keepNext w:val="0"/>
              <w:keepLines w:val="0"/>
              <w:widowControl/>
              <w:numPr>
                <w:numId w:val="0"/>
              </w:numPr>
              <w:suppressLineNumbers w:val="0"/>
              <w:snapToGrid w:val="0"/>
              <w:spacing w:before="0" w:beforeAutospacing="0" w:after="0" w:afterAutospacing="0"/>
              <w:ind w:leftChars="0" w:right="0" w:rightChars="0"/>
              <w:jc w:val="left"/>
              <w:rPr>
                <w:rFonts w:hint="default" w:ascii="仿宋_GB2312" w:hAnsi="宋体" w:eastAsia="仿宋_GB2312" w:cs="Arial"/>
                <w:color w:val="000000"/>
                <w:kern w:val="0"/>
                <w:sz w:val="24"/>
                <w:szCs w:val="24"/>
              </w:rPr>
            </w:pPr>
            <w:r>
              <w:rPr>
                <w:rFonts w:hint="eastAsia" w:ascii="仿宋_GB2312" w:hAnsi="宋体" w:eastAsia="仿宋_GB2312" w:cs="仿宋_GB2312"/>
                <w:color w:val="000000"/>
                <w:kern w:val="0"/>
                <w:sz w:val="24"/>
                <w:szCs w:val="24"/>
                <w:lang w:val="en-US" w:eastAsia="zh-CN" w:bidi="ar"/>
              </w:rPr>
              <w:t>5.</w:t>
            </w:r>
            <w:r>
              <w:rPr>
                <w:rFonts w:hint="default" w:ascii="仿宋_GB2312" w:hAnsi="宋体" w:eastAsia="仿宋_GB2312" w:cs="仿宋_GB2312"/>
                <w:color w:val="000000"/>
                <w:kern w:val="0"/>
                <w:sz w:val="24"/>
                <w:szCs w:val="24"/>
                <w:lang w:val="en-US" w:eastAsia="zh-CN" w:bidi="ar"/>
              </w:rPr>
              <w:t>油烟检测及执法经费25万</w:t>
            </w:r>
          </w:p>
          <w:p>
            <w:pPr>
              <w:keepNext w:val="0"/>
              <w:keepLines w:val="0"/>
              <w:widowControl/>
              <w:numPr>
                <w:numId w:val="0"/>
              </w:numPr>
              <w:suppressLineNumbers w:val="0"/>
              <w:snapToGrid w:val="0"/>
              <w:spacing w:before="0" w:beforeAutospacing="0" w:after="0" w:afterAutospacing="0"/>
              <w:ind w:leftChars="0" w:right="0" w:rightChars="0"/>
              <w:jc w:val="left"/>
              <w:rPr>
                <w:rFonts w:hint="default" w:ascii="仿宋_GB2312" w:hAnsi="宋体" w:eastAsia="仿宋_GB2312" w:cs="Arial"/>
                <w:color w:val="000000"/>
                <w:kern w:val="0"/>
                <w:sz w:val="24"/>
                <w:szCs w:val="24"/>
              </w:rPr>
            </w:pPr>
            <w:r>
              <w:rPr>
                <w:rFonts w:hint="eastAsia" w:ascii="仿宋_GB2312" w:hAnsi="宋体" w:eastAsia="仿宋_GB2312" w:cs="仿宋_GB2312"/>
                <w:color w:val="000000"/>
                <w:kern w:val="0"/>
                <w:sz w:val="24"/>
                <w:szCs w:val="24"/>
                <w:lang w:val="en-US" w:eastAsia="zh-CN" w:bidi="ar"/>
              </w:rPr>
              <w:t>6.</w:t>
            </w:r>
            <w:r>
              <w:rPr>
                <w:rFonts w:hint="default" w:ascii="仿宋_GB2312" w:hAnsi="宋体" w:eastAsia="仿宋_GB2312" w:cs="仿宋_GB2312"/>
                <w:color w:val="000000"/>
                <w:kern w:val="0"/>
                <w:sz w:val="24"/>
                <w:szCs w:val="24"/>
                <w:lang w:val="en-US" w:eastAsia="zh-CN" w:bidi="ar"/>
              </w:rPr>
              <w:t>噪音检测及执法经费20万</w:t>
            </w:r>
          </w:p>
          <w:p>
            <w:pPr>
              <w:keepNext w:val="0"/>
              <w:keepLines w:val="0"/>
              <w:widowControl/>
              <w:numPr>
                <w:numId w:val="0"/>
              </w:numPr>
              <w:suppressLineNumbers w:val="0"/>
              <w:snapToGrid w:val="0"/>
              <w:spacing w:before="0" w:beforeAutospacing="0" w:after="0" w:afterAutospacing="0"/>
              <w:ind w:leftChars="0" w:right="0" w:rightChars="0"/>
              <w:jc w:val="left"/>
              <w:rPr>
                <w:rFonts w:hint="default" w:ascii="仿宋_GB2312" w:hAnsi="宋体" w:eastAsia="仿宋_GB2312" w:cs="Arial"/>
                <w:color w:val="000000"/>
                <w:kern w:val="0"/>
                <w:sz w:val="24"/>
                <w:szCs w:val="24"/>
              </w:rPr>
            </w:pPr>
            <w:r>
              <w:rPr>
                <w:rFonts w:hint="eastAsia" w:ascii="仿宋_GB2312" w:hAnsi="宋体" w:eastAsia="仿宋_GB2312" w:cs="仿宋_GB2312"/>
                <w:color w:val="000000"/>
                <w:kern w:val="0"/>
                <w:sz w:val="24"/>
                <w:szCs w:val="24"/>
                <w:lang w:val="en-US" w:eastAsia="zh-CN" w:bidi="ar"/>
              </w:rPr>
              <w:t>7.</w:t>
            </w:r>
            <w:r>
              <w:rPr>
                <w:rFonts w:hint="default" w:ascii="仿宋_GB2312" w:hAnsi="宋体" w:eastAsia="仿宋_GB2312" w:cs="仿宋_GB2312"/>
                <w:color w:val="000000"/>
                <w:kern w:val="0"/>
                <w:sz w:val="24"/>
                <w:szCs w:val="24"/>
                <w:lang w:val="en-US" w:eastAsia="zh-CN" w:bidi="ar"/>
              </w:rPr>
              <w:t>市容秩序执法经费15万</w:t>
            </w:r>
          </w:p>
          <w:p>
            <w:pPr>
              <w:keepNext w:val="0"/>
              <w:keepLines w:val="0"/>
              <w:widowControl/>
              <w:numPr>
                <w:numId w:val="0"/>
              </w:numPr>
              <w:suppressLineNumbers w:val="0"/>
              <w:snapToGrid w:val="0"/>
              <w:spacing w:before="0" w:beforeAutospacing="0" w:after="0" w:afterAutospacing="0"/>
              <w:ind w:leftChars="0" w:right="0" w:rightChars="0"/>
              <w:jc w:val="left"/>
            </w:pPr>
            <w:r>
              <w:rPr>
                <w:rFonts w:hint="eastAsia" w:ascii="仿宋_GB2312" w:hAnsi="宋体" w:eastAsia="仿宋_GB2312" w:cs="仿宋_GB2312"/>
                <w:color w:val="000000"/>
                <w:kern w:val="0"/>
                <w:sz w:val="24"/>
                <w:szCs w:val="24"/>
                <w:lang w:val="en-US" w:eastAsia="zh-CN" w:bidi="ar"/>
              </w:rPr>
              <w:t>8.</w:t>
            </w:r>
            <w:r>
              <w:rPr>
                <w:rFonts w:hint="default" w:ascii="仿宋_GB2312" w:hAnsi="宋体" w:eastAsia="仿宋_GB2312" w:cs="仿宋_GB2312"/>
                <w:color w:val="000000"/>
                <w:kern w:val="0"/>
                <w:sz w:val="24"/>
                <w:szCs w:val="24"/>
                <w:lang w:val="en-US" w:eastAsia="zh-CN" w:bidi="ar"/>
              </w:rPr>
              <w:t>违规招牌整治及拆除破损广告经费15万</w:t>
            </w:r>
          </w:p>
          <w:p>
            <w:pPr>
              <w:keepNext w:val="0"/>
              <w:keepLines w:val="0"/>
              <w:widowControl/>
              <w:numPr>
                <w:numId w:val="0"/>
              </w:numPr>
              <w:suppressLineNumbers w:val="0"/>
              <w:snapToGrid w:val="0"/>
              <w:spacing w:before="0" w:beforeAutospacing="0" w:after="0" w:afterAutospacing="0"/>
              <w:ind w:leftChars="0" w:right="0" w:rightChars="0"/>
              <w:jc w:val="left"/>
            </w:pPr>
            <w:r>
              <w:rPr>
                <w:rFonts w:hint="eastAsia" w:ascii="仿宋_GB2312" w:hAnsi="宋体" w:eastAsia="仿宋_GB2312" w:cs="仿宋_GB2312"/>
                <w:color w:val="000000"/>
                <w:kern w:val="0"/>
                <w:sz w:val="24"/>
                <w:szCs w:val="24"/>
                <w:lang w:val="en-US" w:eastAsia="zh-CN" w:bidi="ar"/>
              </w:rPr>
              <w:t>9.</w:t>
            </w:r>
            <w:r>
              <w:rPr>
                <w:rFonts w:hint="default" w:ascii="仿宋_GB2312" w:hAnsi="宋体" w:eastAsia="仿宋_GB2312" w:cs="仿宋_GB2312"/>
                <w:color w:val="000000"/>
                <w:kern w:val="0"/>
                <w:sz w:val="24"/>
                <w:szCs w:val="24"/>
                <w:lang w:val="en-US" w:eastAsia="zh-CN" w:bidi="ar"/>
              </w:rPr>
              <w:t>执法普法宣传经费10万</w:t>
            </w:r>
          </w:p>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辅助执法人员延时服务费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辅助执法人员节假日（双休）、夜勤延时加班</w:t>
            </w:r>
            <w:r>
              <w:rPr>
                <w:rFonts w:hint="eastAsia" w:ascii="仿宋_GB2312" w:hAnsi="宋体" w:eastAsia="仿宋_GB2312" w:cs="Arial"/>
                <w:color w:val="000000"/>
                <w:kern w:val="0"/>
                <w:sz w:val="24"/>
                <w:szCs w:val="24"/>
              </w:rPr>
              <w:t>　</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30299-其他商品和服务支出</w:t>
            </w:r>
            <w:r>
              <w:rPr>
                <w:rFonts w:hint="eastAsia" w:ascii="仿宋_GB2312" w:hAnsi="宋体" w:eastAsia="仿宋_GB2312" w:cs="Arial"/>
                <w:color w:val="000000"/>
                <w:kern w:val="0"/>
                <w:sz w:val="24"/>
                <w:szCs w:val="24"/>
              </w:rPr>
              <w:t>　</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91</w:t>
            </w:r>
            <w:r>
              <w:rPr>
                <w:rFonts w:hint="eastAsia" w:ascii="仿宋_GB2312" w:hAnsi="宋体" w:eastAsia="仿宋_GB2312" w:cs="Arial"/>
                <w:color w:val="000000"/>
                <w:kern w:val="0"/>
                <w:sz w:val="24"/>
                <w:szCs w:val="24"/>
              </w:rPr>
              <w:t>　</w:t>
            </w:r>
          </w:p>
        </w:tc>
        <w:tc>
          <w:tcPr>
            <w:tcW w:w="3438" w:type="dxa"/>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default"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w:t>
            </w:r>
            <w:r>
              <w:rPr>
                <w:rFonts w:hint="default" w:ascii="仿宋_GB2312" w:hAnsi="宋体" w:eastAsia="仿宋_GB2312" w:cs="Arial"/>
                <w:color w:val="000000"/>
                <w:kern w:val="0"/>
                <w:sz w:val="24"/>
                <w:szCs w:val="24"/>
                <w:lang w:val="en-US" w:eastAsia="zh-CN"/>
              </w:rPr>
              <w:t xml:space="preserve">辅助执法人员节假日（双休）53.2万：74人*150元/天*4天/月.人次*12 </w:t>
            </w:r>
          </w:p>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2.</w:t>
            </w:r>
            <w:r>
              <w:rPr>
                <w:rFonts w:hint="default" w:ascii="仿宋_GB2312" w:hAnsi="宋体" w:eastAsia="仿宋_GB2312" w:cs="Arial"/>
                <w:color w:val="000000"/>
                <w:kern w:val="0"/>
                <w:sz w:val="24"/>
                <w:szCs w:val="24"/>
                <w:lang w:val="en-US" w:eastAsia="zh-CN"/>
              </w:rPr>
              <w:t>夜勤延时加班【37.8万】：30人*35元/天*30天/月.人次*12</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Calibri" w:eastAsia="仿宋_GB2312" w:cs="Arial"/>
                <w:color w:val="000000"/>
                <w:kern w:val="0"/>
                <w:sz w:val="24"/>
                <w:szCs w:val="24"/>
              </w:rPr>
            </w:pPr>
            <w:r>
              <w:rPr>
                <w:rFonts w:hint="eastAsia" w:ascii="仿宋_GB2312" w:eastAsia="仿宋_GB2312" w:cs="Arial"/>
                <w:color w:val="000000"/>
                <w:kern w:val="0"/>
                <w:sz w:val="24"/>
                <w:szCs w:val="24"/>
              </w:rPr>
              <w:t>品名</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数量</w:t>
            </w:r>
          </w:p>
        </w:tc>
        <w:tc>
          <w:tcPr>
            <w:tcW w:w="445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eastAsia="仿宋_GB2312" w:cs="Arial"/>
                <w:color w:val="000000"/>
                <w:kern w:val="0"/>
                <w:sz w:val="24"/>
                <w:szCs w:val="24"/>
              </w:rPr>
            </w:pPr>
            <w:r>
              <w:rPr>
                <w:rFonts w:hint="eastAsia" w:ascii="仿宋_GB2312" w:eastAsia="仿宋_GB2312" w:cs="Arial"/>
                <w:color w:val="000000"/>
                <w:kern w:val="0"/>
                <w:sz w:val="24"/>
                <w:szCs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color w:val="000000"/>
                <w:kern w:val="0"/>
                <w:sz w:val="24"/>
                <w:szCs w:val="24"/>
                <w:lang w:val="en-US" w:eastAsia="zh-CN" w:bidi="ar"/>
              </w:rPr>
            </w:pPr>
            <w:r>
              <w:rPr>
                <w:rFonts w:hint="default" w:ascii="仿宋_GB2312" w:hAnsi="Times New Roman" w:eastAsia="仿宋_GB2312" w:cs="仿宋_GB2312"/>
                <w:color w:val="000000"/>
                <w:kern w:val="0"/>
                <w:sz w:val="24"/>
                <w:szCs w:val="24"/>
                <w:lang w:val="en-US" w:eastAsia="zh-CN" w:bidi="ar"/>
              </w:rPr>
              <w:t>A05040101-复印纸</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1批</w:t>
            </w:r>
          </w:p>
        </w:tc>
        <w:tc>
          <w:tcPr>
            <w:tcW w:w="445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color w:val="000000"/>
                <w:kern w:val="0"/>
                <w:sz w:val="24"/>
                <w:szCs w:val="24"/>
                <w:lang w:val="en-US" w:eastAsia="zh-CN" w:bidi="ar"/>
              </w:rPr>
            </w:pPr>
            <w:r>
              <w:rPr>
                <w:rFonts w:hint="default" w:ascii="仿宋_GB2312" w:hAnsi="Times New Roman" w:eastAsia="仿宋_GB2312" w:cs="仿宋_GB2312"/>
                <w:color w:val="000000"/>
                <w:kern w:val="0"/>
                <w:sz w:val="24"/>
                <w:szCs w:val="24"/>
                <w:lang w:val="en-US" w:eastAsia="zh-CN" w:bidi="ar"/>
              </w:rPr>
              <w:t>A</w:t>
            </w:r>
            <w:r>
              <w:rPr>
                <w:rFonts w:hint="eastAsia" w:ascii="仿宋_GB2312" w:hAnsi="Times New Roman" w:eastAsia="仿宋_GB2312" w:cs="仿宋_GB2312"/>
                <w:color w:val="000000"/>
                <w:kern w:val="0"/>
                <w:sz w:val="24"/>
                <w:szCs w:val="24"/>
                <w:lang w:val="en-US" w:eastAsia="zh-CN" w:bidi="ar"/>
              </w:rPr>
              <w:t>05010000-家具</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1批</w:t>
            </w:r>
          </w:p>
        </w:tc>
        <w:tc>
          <w:tcPr>
            <w:tcW w:w="445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40" w:lineRule="atLeast"/>
              <w:ind w:left="0" w:right="0"/>
              <w:jc w:val="both"/>
              <w:textAlignment w:val="auto"/>
              <w:rPr>
                <w:rFonts w:hint="default" w:ascii="仿宋_GB2312" w:hAnsi="Times New Roman" w:eastAsia="仿宋_GB2312" w:cs="仿宋_GB2312"/>
                <w:color w:val="000000"/>
                <w:kern w:val="0"/>
                <w:sz w:val="24"/>
                <w:szCs w:val="24"/>
                <w:lang w:val="en-US" w:eastAsia="zh-CN" w:bidi="ar"/>
              </w:rPr>
            </w:pPr>
            <w:r>
              <w:rPr>
                <w:rFonts w:hint="default" w:ascii="仿宋_GB2312" w:hAnsi="宋体" w:eastAsia="仿宋_GB2312" w:cs="Arial"/>
                <w:color w:val="000000"/>
                <w:kern w:val="0"/>
                <w:sz w:val="24"/>
                <w:szCs w:val="24"/>
                <w:lang w:val="en-US" w:eastAsia="zh-CN"/>
              </w:rPr>
              <w:t>C19990000-其他专业技术服务</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1批</w:t>
            </w:r>
          </w:p>
        </w:tc>
        <w:tc>
          <w:tcPr>
            <w:tcW w:w="445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color w:val="000000"/>
                <w:kern w:val="0"/>
                <w:sz w:val="24"/>
                <w:szCs w:val="24"/>
                <w:lang w:val="en-US" w:eastAsia="zh-CN" w:bidi="ar"/>
              </w:rPr>
            </w:pPr>
            <w:r>
              <w:rPr>
                <w:rFonts w:hint="default" w:ascii="仿宋_GB2312" w:hAnsi="Times New Roman" w:eastAsia="仿宋_GB2312" w:cs="仿宋_GB2312"/>
                <w:color w:val="000000"/>
                <w:kern w:val="0"/>
                <w:sz w:val="24"/>
                <w:szCs w:val="24"/>
                <w:lang w:val="en-US" w:eastAsia="zh-CN" w:bidi="ar"/>
              </w:rPr>
              <w:t>C99000000-其他服务</w:t>
            </w:r>
          </w:p>
        </w:tc>
        <w:tc>
          <w:tcPr>
            <w:tcW w:w="2099"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1批</w:t>
            </w:r>
          </w:p>
        </w:tc>
        <w:tc>
          <w:tcPr>
            <w:tcW w:w="4453" w:type="dxa"/>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eastAsia="仿宋_GB2312" w:cs="Arial"/>
                <w:color w:val="000000"/>
                <w:kern w:val="0"/>
                <w:sz w:val="24"/>
                <w:szCs w:val="24"/>
                <w:lang w:val="en-US" w:eastAsia="zh-CN"/>
              </w:rPr>
            </w:pPr>
            <w:r>
              <w:rPr>
                <w:rFonts w:hint="eastAsia" w:ascii="仿宋_GB2312" w:eastAsia="仿宋_GB2312" w:cs="Arial"/>
                <w:color w:val="000000"/>
                <w:kern w:val="0"/>
                <w:sz w:val="24"/>
                <w:szCs w:val="24"/>
                <w:lang w:val="en-US" w:eastAsia="zh-CN"/>
              </w:rPr>
              <w:t>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名称</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292" w:type="dxa"/>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val="0"/>
              <w:suppressLineNumbers w:val="0"/>
              <w:spacing w:before="0" w:beforeAutospacing="0" w:after="0" w:afterAutospacing="0"/>
              <w:ind w:left="0" w:right="0"/>
              <w:jc w:val="both"/>
              <w:rPr>
                <w:rFonts w:ascii="仿宋_GB2312" w:hAnsi="Arial" w:eastAsia="仿宋_GB2312" w:cs="Arial"/>
                <w:color w:val="000000"/>
                <w:kern w:val="0"/>
                <w:sz w:val="24"/>
                <w:szCs w:val="24"/>
              </w:rPr>
            </w:pPr>
            <w:r>
              <w:rPr>
                <w:rFonts w:hint="default" w:ascii="仿宋_GB2312" w:hAnsi="Arial" w:eastAsia="仿宋_GB2312" w:cs="仿宋_GB2312"/>
                <w:color w:val="000000"/>
                <w:kern w:val="0"/>
                <w:sz w:val="24"/>
                <w:szCs w:val="24"/>
                <w:lang w:val="en-US" w:eastAsia="zh-CN" w:bidi="ar"/>
              </w:rPr>
              <w:t>城管执法办案经费</w:t>
            </w:r>
            <w:r>
              <w:rPr>
                <w:rFonts w:hint="eastAsia" w:ascii="仿宋_GB2312" w:hAnsi="Arial" w:eastAsia="仿宋_GB2312" w:cs="Arial"/>
                <w:color w:val="000000"/>
                <w:kern w:val="0"/>
                <w:sz w:val="24"/>
                <w:szCs w:val="24"/>
              </w:rPr>
              <w:t>　</w:t>
            </w:r>
          </w:p>
        </w:tc>
        <w:tc>
          <w:tcPr>
            <w:tcW w:w="6552" w:type="dxa"/>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val="0"/>
              <w:suppressLineNumbers w:val="0"/>
              <w:spacing w:before="0" w:beforeAutospacing="0" w:after="0" w:afterAutospacing="0"/>
              <w:ind w:left="0" w:right="0"/>
              <w:jc w:val="both"/>
              <w:rPr>
                <w:rFonts w:ascii="仿宋_GB2312" w:hAnsi="Arial" w:eastAsia="仿宋_GB2312" w:cs="Arial"/>
                <w:color w:val="000000"/>
                <w:kern w:val="0"/>
                <w:sz w:val="24"/>
                <w:szCs w:val="24"/>
              </w:rPr>
            </w:pPr>
            <w:r>
              <w:rPr>
                <w:rFonts w:hint="default" w:ascii="仿宋_GB2312" w:hAnsi="Arial" w:eastAsia="仿宋_GB2312" w:cs="仿宋_GB2312"/>
                <w:color w:val="000000"/>
                <w:kern w:val="0"/>
                <w:sz w:val="24"/>
                <w:szCs w:val="24"/>
                <w:lang w:val="en-US" w:eastAsia="zh-CN" w:bidi="ar"/>
              </w:rPr>
              <w:t>100％完成绩效目标，产出指标和绩效指标。</w:t>
            </w:r>
            <w:r>
              <w:rPr>
                <w:rFonts w:hint="eastAsia" w:ascii="仿宋_GB2312" w:hAnsi="Arial"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三级指标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val="0"/>
              <w:suppressLineNumbers w:val="0"/>
              <w:spacing w:before="0" w:beforeAutospacing="0" w:after="0" w:afterAutospacing="0"/>
              <w:ind w:left="0" w:right="0"/>
              <w:jc w:val="both"/>
              <w:rPr>
                <w:rFonts w:ascii="仿宋_GB2312" w:hAnsi="宋体" w:eastAsia="仿宋_GB2312" w:cs="Arial"/>
                <w:color w:val="000000"/>
                <w:kern w:val="0"/>
                <w:sz w:val="24"/>
                <w:szCs w:val="24"/>
              </w:rPr>
            </w:pPr>
            <w:r>
              <w:rPr>
                <w:rFonts w:hint="default" w:ascii="仿宋_GB2312" w:hAnsi="宋体" w:eastAsia="仿宋_GB2312" w:cs="仿宋_GB2312"/>
                <w:color w:val="000000"/>
                <w:kern w:val="0"/>
                <w:sz w:val="24"/>
                <w:szCs w:val="24"/>
                <w:lang w:val="en-US" w:eastAsia="zh-CN" w:bidi="ar"/>
              </w:rPr>
              <w:t>产出指标</w:t>
            </w:r>
            <w:r>
              <w:rPr>
                <w:rFonts w:hint="eastAsia" w:ascii="仿宋_GB2312" w:hAnsi="宋体" w:eastAsia="仿宋_GB2312" w:cs="Arial"/>
                <w:color w:val="000000"/>
                <w:kern w:val="0"/>
                <w:sz w:val="24"/>
                <w:szCs w:val="24"/>
              </w:rPr>
              <w:t>　</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数量指标</w:t>
            </w:r>
            <w:r>
              <w:rPr>
                <w:rFonts w:hint="eastAsia" w:ascii="仿宋_GB2312" w:hAnsi="宋体" w:eastAsia="仿宋_GB2312" w:cs="Arial"/>
                <w:color w:val="000000"/>
                <w:kern w:val="0"/>
                <w:sz w:val="24"/>
                <w:szCs w:val="24"/>
              </w:rPr>
              <w:t>　</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渣土车智能终端安装率</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rPr>
              <w:t>　</w:t>
            </w:r>
            <w:r>
              <w:rPr>
                <w:rFonts w:hint="eastAsia" w:ascii="仿宋_GB2312" w:hAnsi="宋体" w:eastAsia="仿宋_GB2312" w:cs="Arial"/>
                <w:color w:val="000000"/>
                <w:kern w:val="0"/>
                <w:sz w:val="24"/>
                <w:szCs w:val="24"/>
                <w:lang w:val="en-US" w:eastAsia="zh-CN"/>
              </w:rPr>
              <w:t>100%</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default" w:ascii="仿宋_GB2312" w:hAnsi="宋体" w:eastAsia="仿宋_GB2312" w:cs="仿宋_GB2312"/>
                <w:color w:val="000000"/>
                <w:kern w:val="0"/>
                <w:sz w:val="24"/>
                <w:szCs w:val="24"/>
                <w:lang w:val="en-US" w:eastAsia="zh-CN" w:bidi="ar"/>
              </w:rPr>
              <w:t>产出指标</w:t>
            </w:r>
            <w:r>
              <w:rPr>
                <w:rFonts w:hint="eastAsia" w:ascii="仿宋_GB2312" w:hAnsi="宋体" w:eastAsia="仿宋_GB2312" w:cs="Arial"/>
                <w:color w:val="000000"/>
                <w:kern w:val="0"/>
                <w:sz w:val="24"/>
                <w:szCs w:val="24"/>
              </w:rPr>
              <w:t>　</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数量指标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渣土车管理平台使用率</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r>
              <w:rPr>
                <w:rFonts w:hint="eastAsia" w:ascii="仿宋_GB2312" w:hAnsi="宋体" w:eastAsia="仿宋_GB2312" w:cs="Arial"/>
                <w:color w:val="000000"/>
                <w:kern w:val="0"/>
                <w:sz w:val="24"/>
                <w:szCs w:val="24"/>
                <w:lang w:val="en-US" w:eastAsia="zh-CN"/>
              </w:rPr>
              <w:t>100%</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default" w:ascii="仿宋_GB2312" w:hAnsi="宋体" w:eastAsia="仿宋_GB2312" w:cs="仿宋_GB2312"/>
                <w:color w:val="000000"/>
                <w:kern w:val="0"/>
                <w:sz w:val="24"/>
                <w:szCs w:val="24"/>
                <w:lang w:val="en-US" w:eastAsia="zh-CN" w:bidi="ar"/>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数量指标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使用瓶装气餐饮企业安检覆盖率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100%</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default" w:ascii="仿宋_GB2312" w:hAnsi="宋体" w:eastAsia="仿宋_GB2312" w:cs="仿宋_GB2312"/>
                <w:color w:val="000000"/>
                <w:kern w:val="0"/>
                <w:sz w:val="24"/>
                <w:szCs w:val="24"/>
                <w:lang w:val="en-US" w:eastAsia="zh-CN" w:bidi="ar"/>
              </w:rPr>
              <w:t>产出指标</w:t>
            </w:r>
            <w:r>
              <w:rPr>
                <w:rFonts w:hint="eastAsia" w:ascii="仿宋_GB2312" w:hAnsi="宋体" w:eastAsia="仿宋_GB2312" w:cs="Arial"/>
                <w:color w:val="000000"/>
                <w:kern w:val="0"/>
                <w:sz w:val="24"/>
                <w:szCs w:val="24"/>
              </w:rPr>
              <w:t>　</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质量指标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城市综合管理问题处置率</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r>
              <w:rPr>
                <w:rFonts w:hint="eastAsia" w:ascii="仿宋_GB2312" w:hAnsi="宋体" w:eastAsia="仿宋_GB2312" w:cs="Arial"/>
                <w:color w:val="000000"/>
                <w:kern w:val="0"/>
                <w:sz w:val="24"/>
                <w:szCs w:val="24"/>
                <w:lang w:val="en-US" w:eastAsia="zh-CN"/>
              </w:rPr>
              <w:t>100%</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default" w:ascii="仿宋_GB2312" w:hAnsi="宋体" w:eastAsia="仿宋_GB2312" w:cs="仿宋_GB2312"/>
                <w:color w:val="000000"/>
                <w:kern w:val="0"/>
                <w:sz w:val="24"/>
                <w:szCs w:val="24"/>
                <w:lang w:val="en-US" w:eastAsia="zh-CN" w:bidi="ar"/>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质量指标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建筑弃土违规运输处置率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98%</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default" w:ascii="仿宋_GB2312" w:hAnsi="宋体" w:eastAsia="仿宋_GB2312" w:cs="仿宋_GB2312"/>
                <w:color w:val="000000"/>
                <w:kern w:val="0"/>
                <w:sz w:val="24"/>
                <w:szCs w:val="24"/>
                <w:lang w:val="en-US" w:eastAsia="zh-CN" w:bidi="ar"/>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质量指标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餐饮油烟、噪音查处率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98%</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default" w:ascii="仿宋_GB2312" w:hAnsi="宋体" w:eastAsia="仿宋_GB2312" w:cs="仿宋_GB2312"/>
                <w:color w:val="000000"/>
                <w:kern w:val="0"/>
                <w:sz w:val="24"/>
                <w:szCs w:val="24"/>
                <w:lang w:val="en-US" w:eastAsia="zh-CN" w:bidi="ar"/>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质量指标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危及燃气安全行为查处率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default" w:ascii="仿宋_GB2312" w:hAnsi="宋体" w:eastAsia="仿宋_GB2312" w:cs="仿宋_GB2312"/>
                <w:color w:val="000000"/>
                <w:kern w:val="0"/>
                <w:sz w:val="24"/>
                <w:szCs w:val="24"/>
                <w:lang w:val="en-US" w:eastAsia="zh-CN" w:bidi="ar"/>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质量指标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Arial"/>
                <w:color w:val="000000"/>
                <w:kern w:val="0"/>
                <w:sz w:val="24"/>
                <w:szCs w:val="24"/>
              </w:rPr>
            </w:pPr>
            <w:r>
              <w:rPr>
                <w:rFonts w:hint="default" w:ascii="仿宋_GB2312" w:hAnsi="宋体" w:eastAsia="仿宋_GB2312" w:cs="仿宋_GB2312"/>
                <w:color w:val="000000"/>
                <w:kern w:val="0"/>
                <w:sz w:val="24"/>
                <w:szCs w:val="24"/>
                <w:lang w:val="en-US" w:eastAsia="zh-CN" w:bidi="ar"/>
              </w:rPr>
              <w:t>违法建设查处率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default" w:ascii="仿宋_GB2312" w:hAnsi="宋体" w:eastAsia="仿宋_GB2312" w:cs="仿宋_GB2312"/>
                <w:color w:val="000000"/>
                <w:kern w:val="0"/>
                <w:sz w:val="24"/>
                <w:szCs w:val="24"/>
                <w:lang w:val="en-US" w:eastAsia="zh-CN" w:bidi="ar"/>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质量指标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Arial"/>
                <w:color w:val="000000"/>
                <w:kern w:val="0"/>
                <w:sz w:val="24"/>
                <w:szCs w:val="24"/>
              </w:rPr>
            </w:pPr>
            <w:r>
              <w:rPr>
                <w:rFonts w:hint="default" w:ascii="仿宋_GB2312" w:hAnsi="宋体" w:eastAsia="仿宋_GB2312" w:cs="仿宋_GB2312"/>
                <w:color w:val="000000"/>
                <w:kern w:val="0"/>
                <w:sz w:val="24"/>
                <w:szCs w:val="24"/>
                <w:lang w:val="en-US" w:eastAsia="zh-CN" w:bidi="ar"/>
              </w:rPr>
              <w:t>投诉件办结率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社会效益指标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无因燃气引发的安全事故发生</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0</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社会效益指标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Arial"/>
                <w:color w:val="000000"/>
                <w:kern w:val="0"/>
                <w:sz w:val="24"/>
                <w:szCs w:val="24"/>
              </w:rPr>
            </w:pPr>
            <w:r>
              <w:rPr>
                <w:rFonts w:hint="default" w:ascii="仿宋_GB2312" w:hAnsi="宋体" w:eastAsia="仿宋_GB2312" w:cs="仿宋_GB2312"/>
                <w:color w:val="000000"/>
                <w:kern w:val="0"/>
                <w:sz w:val="24"/>
                <w:szCs w:val="24"/>
                <w:lang w:val="en-US" w:eastAsia="zh-CN" w:bidi="ar"/>
              </w:rPr>
              <w:t>全市管理得分排名</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排名靠前</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社会效益指标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无因城管执法引发的上访、信访事件</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无</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环境效益指标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有助于维护园林绿化成果</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有助于</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效益指标</w:t>
            </w:r>
            <w:r>
              <w:rPr>
                <w:rFonts w:hint="eastAsia" w:ascii="仿宋_GB2312" w:hAnsi="宋体" w:eastAsia="仿宋_GB2312" w:cs="Arial"/>
                <w:color w:val="000000"/>
                <w:kern w:val="0"/>
                <w:sz w:val="24"/>
                <w:szCs w:val="24"/>
              </w:rPr>
              <w:t>　</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环境效益指标</w:t>
            </w:r>
          </w:p>
        </w:tc>
        <w:tc>
          <w:tcPr>
            <w:tcW w:w="2098"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减少路面污染、油烟、噪音等环境污染</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rPr>
              <w:t>　</w:t>
            </w:r>
            <w:r>
              <w:rPr>
                <w:rFonts w:hint="eastAsia" w:ascii="仿宋_GB2312" w:hAnsi="宋体" w:eastAsia="仿宋_GB2312" w:cs="Arial"/>
                <w:color w:val="000000"/>
                <w:kern w:val="0"/>
                <w:sz w:val="24"/>
                <w:szCs w:val="24"/>
                <w:lang w:eastAsia="zh-CN"/>
              </w:rPr>
              <w:t>减少</w:t>
            </w:r>
          </w:p>
        </w:tc>
        <w:tc>
          <w:tcPr>
            <w:tcW w:w="2161" w:type="dxa"/>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844" w:type="dxa"/>
            <w:gridSpan w:val="8"/>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目标名称</w:t>
            </w:r>
          </w:p>
        </w:tc>
        <w:tc>
          <w:tcPr>
            <w:tcW w:w="114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一级指标</w:t>
            </w:r>
          </w:p>
        </w:tc>
        <w:tc>
          <w:tcPr>
            <w:tcW w:w="114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二级指标</w:t>
            </w:r>
          </w:p>
        </w:tc>
        <w:tc>
          <w:tcPr>
            <w:tcW w:w="952"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三级</w:t>
            </w:r>
          </w:p>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w:t>
            </w:r>
          </w:p>
        </w:tc>
        <w:tc>
          <w:tcPr>
            <w:tcW w:w="3438"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w:t>
            </w:r>
          </w:p>
        </w:tc>
        <w:tc>
          <w:tcPr>
            <w:tcW w:w="1015" w:type="dxa"/>
            <w:vMerge w:val="restart"/>
            <w:tcBorders>
              <w:top w:val="single" w:color="000000" w:sz="4" w:space="0"/>
              <w:left w:val="single" w:color="auto"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指标值确定</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Arial"/>
                <w:color w:val="000000"/>
                <w:kern w:val="0"/>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Arial"/>
                <w:color w:val="000000"/>
                <w:kern w:val="0"/>
                <w:sz w:val="24"/>
                <w:szCs w:val="24"/>
              </w:rPr>
            </w:pPr>
          </w:p>
        </w:tc>
        <w:tc>
          <w:tcPr>
            <w:tcW w:w="11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Arial"/>
                <w:color w:val="000000"/>
                <w:kern w:val="0"/>
                <w:sz w:val="24"/>
                <w:szCs w:val="24"/>
              </w:rPr>
            </w:pPr>
          </w:p>
        </w:tc>
        <w:tc>
          <w:tcPr>
            <w:tcW w:w="9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Arial"/>
                <w:color w:val="000000"/>
                <w:kern w:val="0"/>
                <w:sz w:val="24"/>
                <w:szCs w:val="24"/>
              </w:rPr>
            </w:pPr>
          </w:p>
        </w:tc>
        <w:tc>
          <w:tcPr>
            <w:tcW w:w="114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前年</w:t>
            </w:r>
          </w:p>
        </w:tc>
        <w:tc>
          <w:tcPr>
            <w:tcW w:w="114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上年</w:t>
            </w:r>
          </w:p>
        </w:tc>
        <w:tc>
          <w:tcPr>
            <w:tcW w:w="114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预计当年</w:t>
            </w:r>
            <w:r>
              <w:rPr>
                <w:rFonts w:hint="eastAsia" w:ascii="仿宋_GB2312" w:hAnsi="宋体" w:eastAsia="仿宋_GB2312" w:cs="Arial"/>
                <w:color w:val="000000"/>
                <w:kern w:val="0"/>
                <w:sz w:val="24"/>
                <w:szCs w:val="24"/>
              </w:rPr>
              <w:br w:type="textWrapping"/>
            </w:r>
            <w:r>
              <w:rPr>
                <w:rFonts w:hint="eastAsia" w:ascii="仿宋_GB2312" w:hAnsi="宋体" w:eastAsia="仿宋_GB2312" w:cs="Arial"/>
                <w:color w:val="000000"/>
                <w:kern w:val="0"/>
                <w:sz w:val="24"/>
                <w:szCs w:val="24"/>
              </w:rPr>
              <w:t>实现</w:t>
            </w:r>
          </w:p>
        </w:tc>
        <w:tc>
          <w:tcPr>
            <w:tcW w:w="1015" w:type="dxa"/>
            <w:vMerge w:val="continue"/>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仿宋_GB2312" w:hAnsi="宋体" w:eastAsia="仿宋_GB2312" w:cs="Arial"/>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auto"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产出指标</w:t>
            </w:r>
            <w:r>
              <w:rPr>
                <w:rFonts w:hint="eastAsia" w:ascii="仿宋_GB2312" w:hAnsi="宋体" w:eastAsia="仿宋_GB2312" w:cs="Arial"/>
                <w:color w:val="000000"/>
                <w:kern w:val="0"/>
                <w:sz w:val="24"/>
                <w:szCs w:val="24"/>
              </w:rPr>
              <w:t>　</w:t>
            </w:r>
          </w:p>
        </w:tc>
        <w:tc>
          <w:tcPr>
            <w:tcW w:w="1147"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数量指标</w:t>
            </w:r>
            <w:r>
              <w:rPr>
                <w:rFonts w:hint="eastAsia" w:ascii="仿宋_GB2312" w:hAnsi="宋体" w:eastAsia="仿宋_GB2312" w:cs="Arial"/>
                <w:color w:val="000000"/>
                <w:kern w:val="0"/>
                <w:sz w:val="24"/>
                <w:szCs w:val="24"/>
              </w:rPr>
              <w:t>　</w:t>
            </w:r>
          </w:p>
        </w:tc>
        <w:tc>
          <w:tcPr>
            <w:tcW w:w="952"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使用瓶装气餐饮企业安检覆盖率</w:t>
            </w:r>
            <w:r>
              <w:rPr>
                <w:rFonts w:hint="eastAsia" w:ascii="仿宋_GB2312" w:hAnsi="宋体" w:eastAsia="仿宋_GB2312" w:cs="Arial"/>
                <w:color w:val="000000"/>
                <w:kern w:val="0"/>
                <w:sz w:val="24"/>
                <w:szCs w:val="24"/>
              </w:rPr>
              <w:t>　</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100%</w:t>
            </w:r>
          </w:p>
        </w:tc>
        <w:tc>
          <w:tcPr>
            <w:tcW w:w="1146" w:type="dxa"/>
            <w:tcBorders>
              <w:top w:val="single" w:color="auto"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100%</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r>
              <w:rPr>
                <w:rFonts w:hint="eastAsia" w:ascii="仿宋_GB2312" w:hAnsi="宋体"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数量指标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渣土车管理平台使用率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100%</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r>
              <w:rPr>
                <w:rFonts w:hint="eastAsia" w:ascii="仿宋_GB2312" w:hAnsi="宋体"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数量指标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渣土车智能终端安装率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100%</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r>
              <w:rPr>
                <w:rFonts w:hint="eastAsia" w:ascii="仿宋_GB2312" w:hAnsi="宋体"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执法办案经费</w:t>
            </w:r>
            <w:r>
              <w:rPr>
                <w:rFonts w:hint="eastAsia" w:ascii="仿宋_GB2312" w:hAnsi="宋体" w:eastAsia="仿宋_GB2312" w:cs="Arial"/>
                <w:color w:val="000000"/>
                <w:kern w:val="0"/>
                <w:sz w:val="24"/>
                <w:szCs w:val="24"/>
              </w:rPr>
              <w:t>　</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质量指标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城市综合管理问题及时处置率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100%</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历史标准</w:t>
            </w:r>
            <w:r>
              <w:rPr>
                <w:rFonts w:hint="eastAsia" w:ascii="仿宋_GB2312" w:hAnsi="宋体" w:eastAsia="仿宋_GB2312" w:cs="Arial"/>
                <w:color w:val="000000"/>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执法办案经费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质量指标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建筑弃土违规运输处置率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98%</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98%</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98%</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执法办案经费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质量指标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餐饮油烟、噪音查处率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98%</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98%</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98%</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执法办案经费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质量指标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危及燃气安全行为查处率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执法办案经费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质量指标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违法建设查处率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执法办案经费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eastAsia="zh-CN"/>
              </w:rPr>
              <w:t>产出指标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质量指标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投诉件办结率</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100%</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执法办案经费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社会效益指标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无因燃气引发的安全事故发生</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0</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0</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执法办案经费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社会效益指标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全市管理得分排名</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排名靠前</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排名靠前</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排名靠前</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执法办案经费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社会效益指标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无因城管执法引发的上访、信访事件</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无</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无</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val="en-US" w:eastAsia="zh-CN"/>
              </w:rPr>
            </w:pPr>
            <w:r>
              <w:rPr>
                <w:rFonts w:hint="eastAsia" w:ascii="仿宋_GB2312" w:hAnsi="宋体" w:eastAsia="仿宋_GB2312" w:cs="Arial"/>
                <w:color w:val="000000"/>
                <w:kern w:val="0"/>
                <w:sz w:val="24"/>
                <w:szCs w:val="24"/>
                <w:lang w:val="en-US" w:eastAsia="zh-CN"/>
              </w:rPr>
              <w:t>无</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执法办案经费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环境效益指标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有助于维护园林绿化成果</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有助于</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有助于</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有助于</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历史标准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14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lang w:val="en-US" w:eastAsia="zh-CN"/>
              </w:rPr>
              <w:t>执法办案经费</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效益指标</w:t>
            </w:r>
          </w:p>
        </w:tc>
        <w:tc>
          <w:tcPr>
            <w:tcW w:w="114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环境效益指标</w:t>
            </w:r>
          </w:p>
        </w:tc>
        <w:tc>
          <w:tcPr>
            <w:tcW w:w="952"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减少路面污染、油烟、噪音等环境污染</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减少</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减少</w:t>
            </w:r>
          </w:p>
        </w:tc>
        <w:tc>
          <w:tcPr>
            <w:tcW w:w="1146"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减少</w:t>
            </w:r>
          </w:p>
        </w:tc>
        <w:tc>
          <w:tcPr>
            <w:tcW w:w="101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仿宋_GB2312" w:hAnsi="宋体" w:eastAsia="仿宋_GB2312" w:cs="Arial"/>
                <w:color w:val="000000"/>
                <w:kern w:val="0"/>
                <w:sz w:val="24"/>
                <w:szCs w:val="24"/>
                <w:lang w:eastAsia="zh-CN"/>
              </w:rPr>
            </w:pPr>
            <w:r>
              <w:rPr>
                <w:rFonts w:hint="eastAsia" w:ascii="仿宋_GB2312" w:hAnsi="宋体" w:eastAsia="仿宋_GB2312" w:cs="Arial"/>
                <w:color w:val="000000"/>
                <w:kern w:val="0"/>
                <w:sz w:val="24"/>
                <w:szCs w:val="24"/>
                <w:lang w:eastAsia="zh-CN"/>
              </w:rPr>
              <w:t>历史标准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ial">
    <w:altName w:val="Times New Roman"/>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MzczYzEyZWFjZTlhOWI0YzFmOGVjYzg4YWQ1N2QifQ=="/>
  </w:docVars>
  <w:rsids>
    <w:rsidRoot w:val="00000000"/>
    <w:rsid w:val="000A2835"/>
    <w:rsid w:val="396D7411"/>
    <w:rsid w:val="66BF255F"/>
    <w:rsid w:val="7F73C248"/>
    <w:rsid w:val="F7F69C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1</Lines>
  <Paragraphs>1</Paragraphs>
  <TotalTime>13</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徐徐快跑</cp:lastModifiedBy>
  <dcterms:modified xsi:type="dcterms:W3CDTF">2025-01-13T15:56:57Z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342A7C7F193D106342C58467ECBB898F_43</vt:lpwstr>
  </property>
</Properties>
</file>