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86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240" w:lineRule="auto"/>
        <w:jc w:val="center"/>
        <w:textAlignment w:val="auto"/>
        <w:rPr>
          <w:rFonts w:hint="eastAsia" w:ascii="方正小标宋简体" w:hAnsi="Times New Roman" w:eastAsia="方正小标宋简体" w:cs="Times New Roman"/>
          <w:snapToGrid w:val="0"/>
          <w:spacing w:val="8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napToGrid w:val="0"/>
          <w:spacing w:val="8"/>
          <w:kern w:val="0"/>
          <w:sz w:val="44"/>
          <w:szCs w:val="44"/>
          <w:lang w:val="en-US" w:eastAsia="zh-CN"/>
        </w:rPr>
        <w:t>武汉市蔡甸区消泗乡人民政府2026年   预算编制说明</w:t>
      </w:r>
    </w:p>
    <w:p w14:paraId="313D5DB9">
      <w:pPr>
        <w:spacing w:line="560" w:lineRule="atLeast"/>
        <w:ind w:firstLine="592" w:firstLineChars="200"/>
        <w:jc w:val="left"/>
        <w:rPr>
          <w:rFonts w:hint="eastAsia" w:ascii="楷体" w:hAnsi="楷体" w:eastAsia="楷体" w:cs="楷体"/>
          <w:spacing w:val="8"/>
          <w:sz w:val="28"/>
          <w:szCs w:val="28"/>
          <w:lang w:val="en-US" w:eastAsia="zh-CN"/>
        </w:rPr>
      </w:pPr>
    </w:p>
    <w:p w14:paraId="28EF2A72">
      <w:pPr>
        <w:spacing w:line="560" w:lineRule="atLeast"/>
        <w:ind w:firstLine="592" w:firstLineChars="200"/>
        <w:jc w:val="left"/>
        <w:rPr>
          <w:rFonts w:hint="eastAsia" w:ascii="楷体" w:hAnsi="楷体" w:eastAsia="楷体" w:cs="楷体"/>
          <w:spacing w:val="8"/>
          <w:sz w:val="28"/>
          <w:szCs w:val="28"/>
          <w:lang w:val="en-US" w:eastAsia="zh-CN"/>
        </w:rPr>
      </w:pPr>
    </w:p>
    <w:p w14:paraId="499B7D09">
      <w:pPr>
        <w:spacing w:line="600" w:lineRule="exact"/>
        <w:ind w:firstLine="664" w:firstLineChars="200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本预算草案根据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《中华人民共和国预算法》、我部门“三定”方案规定的职能和2026年主要工作任务编制。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预算草案已报本部门党组（党委）审议通过。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草案所列内容准确、真实、完整。我部门将根据审查批复的预算做好执行工作，对预算执行结果负责，并依法接受区人大审查监督。</w:t>
      </w:r>
    </w:p>
    <w:p w14:paraId="3D2FA7D5">
      <w:pPr>
        <w:spacing w:line="600" w:lineRule="exact"/>
        <w:ind w:firstLine="664" w:firstLineChars="200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 xml:space="preserve">                </w:t>
      </w:r>
    </w:p>
    <w:p w14:paraId="6564FFFF">
      <w:pPr>
        <w:spacing w:line="600" w:lineRule="exact"/>
        <w:ind w:firstLine="4316" w:firstLineChars="1300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部门法定代表人签字：</w:t>
      </w:r>
    </w:p>
    <w:p w14:paraId="06F1B8FD">
      <w:pPr>
        <w:rPr>
          <w:rFonts w:hint="eastAsia"/>
          <w:lang w:val="en-US" w:eastAsia="zh-CN"/>
        </w:rPr>
      </w:pPr>
    </w:p>
    <w:p w14:paraId="2AB8D5FF">
      <w:pPr>
        <w:numPr>
          <w:ilvl w:val="0"/>
          <w:numId w:val="1"/>
        </w:numPr>
        <w:spacing w:line="560" w:lineRule="atLeast"/>
        <w:ind w:firstLine="592" w:firstLineChars="200"/>
        <w:jc w:val="left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8"/>
          <w:sz w:val="28"/>
          <w:szCs w:val="28"/>
          <w:lang w:val="en-US" w:eastAsia="zh-CN"/>
        </w:rPr>
        <w:t>部门概况</w:t>
      </w:r>
    </w:p>
    <w:p w14:paraId="4C005365">
      <w:pPr>
        <w:numPr>
          <w:ilvl w:val="0"/>
          <w:numId w:val="2"/>
        </w:numPr>
        <w:spacing w:line="560" w:lineRule="atLeast"/>
        <w:ind w:left="0" w:leftChars="0" w:firstLine="420" w:firstLineChars="0"/>
        <w:jc w:val="left"/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部门预算单位构成</w:t>
      </w:r>
    </w:p>
    <w:p w14:paraId="476D71BD">
      <w:pPr>
        <w:spacing w:line="600" w:lineRule="exact"/>
        <w:ind w:firstLine="664" w:firstLineChars="200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消泗乡内设五个办公室和三个中心，即：党政综合办公室、党建工作办公室、城乡建设办公室、社会事务和平安建设办公室、经济发展办公室、；下属三个事业单位，即：党群服务中心、社会治安综合治理和网格服务中心、综合执法中心。</w:t>
      </w:r>
    </w:p>
    <w:p w14:paraId="6F2FA321">
      <w:pPr>
        <w:numPr>
          <w:ilvl w:val="0"/>
          <w:numId w:val="2"/>
        </w:numPr>
        <w:spacing w:line="560" w:lineRule="atLeast"/>
        <w:ind w:left="0" w:leftChars="0" w:firstLine="420" w:firstLineChars="0"/>
        <w:jc w:val="left"/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部门主要职能</w:t>
      </w:r>
    </w:p>
    <w:p w14:paraId="55E67388">
      <w:pPr>
        <w:spacing w:line="600" w:lineRule="exact"/>
        <w:ind w:firstLine="664" w:firstLineChars="200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消泗乡政府主要承担落实国家政策，严格依法行政，搞好市场监管，发展乡村经济、文化和社会事业，提供公共服务；党委、人大、政府交办的各项日常工作和社会治安综合治理、社会稳定、人民团体及各部门、各方面的综合协调工作，督促检查有关工作的落实；工业、农业、林业、水利和第三产业发展规划、招商引资；人口和计划生育、国土资源管理、村镇规划建设、科教文卫等。</w:t>
      </w:r>
    </w:p>
    <w:p w14:paraId="1D2AA168">
      <w:pPr>
        <w:numPr>
          <w:ilvl w:val="0"/>
          <w:numId w:val="2"/>
        </w:numPr>
        <w:spacing w:line="560" w:lineRule="atLeast"/>
        <w:ind w:left="0" w:leftChars="0" w:firstLine="420" w:firstLineChars="0"/>
        <w:jc w:val="left"/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部门人员构成</w:t>
      </w:r>
    </w:p>
    <w:p w14:paraId="1F129B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64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蔡甸区消泗乡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预算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总编制人数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人，其中：在职实有人数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行政编制在职人员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，机关技术工人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2人，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事业编制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离退休人员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人，其中：离休0人，退休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人。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</w:t>
      </w:r>
    </w:p>
    <w:p w14:paraId="7AB9DFDC">
      <w:pPr>
        <w:numPr>
          <w:ilvl w:val="0"/>
          <w:numId w:val="1"/>
        </w:numPr>
        <w:spacing w:line="560" w:lineRule="atLeast"/>
        <w:ind w:firstLine="592" w:firstLineChars="200"/>
        <w:jc w:val="left"/>
        <w:rPr>
          <w:rFonts w:hint="eastAsia" w:ascii="黑体" w:hAnsi="黑体" w:eastAsia="黑体" w:cs="黑体"/>
          <w:b w:val="0"/>
          <w:bCs w:val="0"/>
          <w:spacing w:val="8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8"/>
          <w:sz w:val="28"/>
          <w:szCs w:val="28"/>
          <w:lang w:val="en-US" w:eastAsia="zh-CN"/>
        </w:rPr>
        <w:t>部门年度工作目标及重点</w:t>
      </w:r>
    </w:p>
    <w:p w14:paraId="429F4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做好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的政府工作，要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坚持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以习近平新时代中国特色社会主义思想为指导，深入贯彻党的二十大和二十届历次全会精神，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围绕“五个中心”和支点建设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主动服务和融入新发展格局，紧紧围绕区委、区政府决策部署，以推动高质量发展为主题，深入实施“现代农业”与“乡村旅游”双轮驱动战略，统筹高质量发展和高水平安全，奋力谱写中国式现代化消泗实践新篇章。</w:t>
      </w:r>
    </w:p>
    <w:p w14:paraId="19746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全乡经济社会发展的主要预期目标是：固定资产投资、财税收入保持稳定增长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10%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，农村居民人均可支配收入增速与经济增长基本同步，生态环境质量持续优化，社会大局保持和谐稳定。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实现目标任务，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重点做好以下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个方面工作：</w:t>
      </w:r>
    </w:p>
    <w:p w14:paraId="06AC6E4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进一步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增强经济发展动能。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推动消泗集镇详规落地生效，启动规划兴无垸内“安全岛”申报工作，谋划乡全域国土综合整治项目。加快产业导入，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把招商引资作为“一号工程”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力争盘活闲置厂房1.5万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平方米以上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、建设用地100亩以上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引进超千万元项目2-3个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。新增规上服务业企业1家、新增限上商贸企业1家。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围绕农业加工、农文旅融合，。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着力构建“一圈一带两片区”发展框架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打造环沉湖国际湿地研学度假圈，精心塑造沿通顺河流域特色农业休闲观光带，推动消泗、曲口两大片区协同发展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01C476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进一步完善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特色产业体系。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确保乡域6.3万亩耕地面积稳定、持续、逐步向土地集约化，种养规模化、加工精细化、流通品牌化的现代农业转型升级。积极参与沉湖湿地小镇建设开发，谋划1-2条桐湖与消泗的旅游线路，启动杨庄、七壕观鸟线路的建设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实施油菜花核心景区提档升级项目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，力争完成休闲广场、停车场建设项目的前期准备。</w:t>
      </w:r>
    </w:p>
    <w:p w14:paraId="40087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（三）进一步加快重点项目建设。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确保兴无垸堤防项目全面完工，持续保障六环线施工，确保2027年初全线通车。全力推进老政府改造项目落地建设，春节前力争完成土地收储，力争年内实现开工建设。积极实施洪南村高标农田建设项目、和美乡村建设项目，启动百曲线亮化工程建设。投资近1000万元完成洪南村高标农田系统改造。</w:t>
      </w:r>
    </w:p>
    <w:p w14:paraId="19F2E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（四）进一步推动城乡融合发展。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曲口村重点提升农业现代化化和农事服务水平，打造现代农业示范。罗汉、七壕、汉洪、九沟、洪河、三合、杨庄村围绕沉湖国际湿地小镇打造谋划精品项目、精品线路，打湿地牌、走融合路，港洲村结合“四线一口”整治，打“高速”牌，谋划配套服务项目，渔樵村、洪南村结合“油菜花季”，做好“赏花经济”文章，消泗社区重点围绕建设一个和美片区谋划城市更新项目。</w:t>
      </w:r>
    </w:p>
    <w:p w14:paraId="4D561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（五）进一步着力推进乡村全面振兴。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扎实推进各类耕地问题整改完成，确保粮食播种面积稳定在6.3万亩以上。培育市级以上龙头企业1家，提档升级消泗农事服务中心，新引进农业产业项目2-3个，支持尊沁水产打造鳜鱼苗种繁育基地，建设周渔智慧渔业示范基地。提速“消泗臻品”品牌打造，培育消泗稻米、风干鱼、挖沟富硒西瓜等农产品品牌。加快“四线一口”整治行动，持续提升农村人居环境，扎实开展“清洁家园”行动，运营管护好农村生活污水处理设施、农村公厕、农村公路。持续巩固脱贫攻坚成果，守牢不发生规模性返贫致贫底线。</w:t>
      </w:r>
    </w:p>
    <w:p w14:paraId="2A576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（六）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进一步夯实民生保障底线。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全力稳就业、保基本、强服务。聚焦高校毕业生、农民工、就业困难人员等重点群体，新增就业450人以上。健全多层次社会保障体系，深入推进全民参保，强化特困老人、困境儿童、残疾人等群体保障。积极盘活消泗福利院，打造1处集健康护理、文体娱乐、精神关爱于一体的多元化日间照料中心。持续推动校联体建设，促进义务教育优质均衡，加强乡村师资培训，落实“双减”政策，助力学生全面发展。提升乡卫生院服务能力，推动年轻医生下沉村级卫生室实践锻炼，加强无偿献血与公共卫生健康宣传，守牢群众健康防线。全力做好国家卫生乡镇复审。围绕“四好农村路”目标，力争完成13条在库差次路修复并尽早销号。</w:t>
      </w:r>
    </w:p>
    <w:p w14:paraId="3C5BEED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（七）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进一步加强和创新社会治理，全力维护社会安全和稳定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坚持底线思维，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注重融资平台债务、生态修复纠纷、土地经营权纠纷等重点领域风险化解，牢牢守住不发生系统性风险底线。全面落实乡履行职责事项清单，持续释放基层治理活力，坚持和发展新时代“枫桥经验”，及时响应办理群众诉求，推动矛盾纠纷源头预防、就地化解，常态化推进扫黑除恶斗争。加大预防和打击电信网络诈骗、毒品犯罪等力度，切实维护社会大局和谐稳定。</w:t>
      </w:r>
    </w:p>
    <w:p w14:paraId="7E7C0B50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1FF4B7BF">
      <w:pPr>
        <w:numPr>
          <w:ilvl w:val="0"/>
          <w:numId w:val="1"/>
        </w:numPr>
        <w:spacing w:line="560" w:lineRule="atLeast"/>
        <w:ind w:firstLine="592" w:firstLineChars="200"/>
        <w:jc w:val="left"/>
        <w:rPr>
          <w:rFonts w:hint="eastAsia" w:ascii="黑体" w:hAnsi="黑体" w:eastAsia="黑体" w:cs="黑体"/>
          <w:b w:val="0"/>
          <w:bCs w:val="0"/>
          <w:spacing w:val="8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8"/>
          <w:sz w:val="28"/>
          <w:szCs w:val="28"/>
          <w:lang w:val="en-US" w:eastAsia="zh-CN"/>
        </w:rPr>
        <w:t>收支预算安排情况</w:t>
      </w:r>
    </w:p>
    <w:p w14:paraId="38DEDAF1">
      <w:pPr>
        <w:numPr>
          <w:ilvl w:val="0"/>
          <w:numId w:val="4"/>
        </w:numPr>
        <w:spacing w:line="560" w:lineRule="atLeast"/>
        <w:ind w:left="0" w:leftChars="0" w:firstLine="420" w:firstLineChars="0"/>
        <w:jc w:val="left"/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财政拨款收支预算总体安排情况</w:t>
      </w:r>
    </w:p>
    <w:p w14:paraId="25284A6E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本单位2026年财政拨款总收入为6645.41万元：其中一般公共预算财政拨款收入为1645.41万元、政府性基金预算财政拨款收入为0万元、国有资本经营预算财政拨款收入0万元，其他收入5000万元。</w:t>
      </w:r>
    </w:p>
    <w:p w14:paraId="2CBD8FC3">
      <w:pPr>
        <w:numPr>
          <w:ilvl w:val="0"/>
          <w:numId w:val="4"/>
        </w:numPr>
        <w:spacing w:line="560" w:lineRule="atLeast"/>
        <w:ind w:left="0" w:leftChars="0" w:firstLine="420" w:firstLineChars="0"/>
        <w:jc w:val="left"/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一般公共预算支出安排情况</w:t>
      </w:r>
    </w:p>
    <w:p w14:paraId="36DE4A46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2026年一般公共预算支出6645.41万元，其中：一般公共服务支出6355.14万元，社会保障和就业支出124.45万元，卫生健康支出72.2万元，住房保障支出93.62万元。</w:t>
      </w:r>
    </w:p>
    <w:p w14:paraId="7341F7F1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1.基本支出1348.44万元，比2025年预算增加91.91万元，减少6.4%，主要原因是：人员变动调整。其中：</w:t>
      </w:r>
    </w:p>
    <w:p w14:paraId="713D0EE9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①工资福利支出1236.64万元。</w:t>
      </w:r>
    </w:p>
    <w:p w14:paraId="3B6C064A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②商品和服务支出104.93万元。</w:t>
      </w:r>
    </w:p>
    <w:p w14:paraId="23F7B292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③对个人和家庭的补助6.88万元。</w:t>
      </w:r>
    </w:p>
    <w:p w14:paraId="42456DF6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2.项目支出5296.97万元，比2025年预算增加1897万元，增加了55.8%。主要原因是:预算一体化向乡镇延伸，往来账户资金进入预算项目。其中：</w:t>
      </w:r>
    </w:p>
    <w:p w14:paraId="7050EBD0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①乡人民政府运转经费200万元。</w:t>
      </w:r>
    </w:p>
    <w:p w14:paraId="38529013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②农村集体三资管理及中介经费24万元。</w:t>
      </w:r>
    </w:p>
    <w:p w14:paraId="45EEC859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③综改物化投入6.17万元。</w:t>
      </w:r>
    </w:p>
    <w:p w14:paraId="337BA32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④国有资产管理和维护支出31.4万元。</w:t>
      </w:r>
    </w:p>
    <w:p w14:paraId="7DE998A3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⑤消泗乡党群服务中心劳务派遣费用35.4万元</w:t>
      </w:r>
    </w:p>
    <w:p w14:paraId="197F377A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⑥消泗乡往来资金5000万元。</w:t>
      </w:r>
    </w:p>
    <w:p w14:paraId="557AE27F">
      <w:pPr>
        <w:numPr>
          <w:ilvl w:val="0"/>
          <w:numId w:val="4"/>
        </w:numPr>
        <w:spacing w:line="560" w:lineRule="atLeast"/>
        <w:ind w:left="0" w:leftChars="0" w:firstLine="420" w:firstLineChars="0"/>
        <w:jc w:val="left"/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政府性基金预算支出安排情况</w:t>
      </w:r>
    </w:p>
    <w:p w14:paraId="39930A45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2026年本部门没有使用政府性基金预算安排支出。</w:t>
      </w:r>
    </w:p>
    <w:p w14:paraId="17896DD6">
      <w:pPr>
        <w:numPr>
          <w:ilvl w:val="0"/>
          <w:numId w:val="4"/>
        </w:numPr>
        <w:spacing w:line="560" w:lineRule="atLeast"/>
        <w:ind w:left="0" w:leftChars="0" w:firstLine="420" w:firstLineChars="0"/>
        <w:jc w:val="left"/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国有资本经营预算支出安排情况</w:t>
      </w:r>
    </w:p>
    <w:p w14:paraId="4EA20AE7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2026年本部门没有使用国有资本经营预算安排支出。</w:t>
      </w:r>
    </w:p>
    <w:p w14:paraId="4CE90C4F">
      <w:pPr>
        <w:numPr>
          <w:ilvl w:val="0"/>
          <w:numId w:val="4"/>
        </w:numPr>
        <w:spacing w:line="560" w:lineRule="atLeast"/>
        <w:ind w:left="0" w:leftChars="0" w:firstLine="420" w:firstLineChars="0"/>
        <w:jc w:val="left"/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部门“三公”经费财政拨款预算情况</w:t>
      </w:r>
    </w:p>
    <w:p w14:paraId="02C67A01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(1)2026年部门财政拨款资金安排 “三公”经费预算24.3万元。</w:t>
      </w:r>
    </w:p>
    <w:p w14:paraId="6B2B8C05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1．公务用车购置费0万元，比2025年预算增加(减少)0万元。</w:t>
      </w:r>
    </w:p>
    <w:p w14:paraId="2900182E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2．公务用车运行维护费24.3万元。</w:t>
      </w:r>
    </w:p>
    <w:p w14:paraId="2753109A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(2)公务接待费预算0万元，比2025年预算增加0万元，目前暂无安排公务接待费用。</w:t>
      </w:r>
    </w:p>
    <w:p w14:paraId="64DB12C2">
      <w:pPr>
        <w:numPr>
          <w:ilvl w:val="0"/>
          <w:numId w:val="4"/>
        </w:numPr>
        <w:spacing w:line="560" w:lineRule="atLeast"/>
        <w:ind w:left="0" w:leftChars="0" w:firstLine="420" w:firstLineChars="0"/>
        <w:jc w:val="left"/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部门财务收支预算安排情况</w:t>
      </w:r>
    </w:p>
    <w:p w14:paraId="51B95B55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2026年本部门财务收支预算均为一般公共预算财政拨款安排资金，没有其它收入来源及非财政性资金安排的项目支出。</w:t>
      </w:r>
    </w:p>
    <w:p w14:paraId="6FB4BAFA">
      <w:pPr>
        <w:numPr>
          <w:ilvl w:val="0"/>
          <w:numId w:val="1"/>
        </w:numPr>
        <w:spacing w:line="560" w:lineRule="atLeast"/>
        <w:ind w:firstLine="592" w:firstLineChars="200"/>
        <w:jc w:val="left"/>
        <w:rPr>
          <w:rFonts w:hint="eastAsia" w:ascii="黑体" w:hAnsi="黑体" w:eastAsia="黑体" w:cs="黑体"/>
          <w:b w:val="0"/>
          <w:bCs w:val="0"/>
          <w:spacing w:val="8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8"/>
          <w:sz w:val="28"/>
          <w:szCs w:val="28"/>
          <w:lang w:val="en-US" w:eastAsia="zh-CN"/>
        </w:rPr>
        <w:t>其他需要说明的情况</w:t>
      </w:r>
    </w:p>
    <w:p w14:paraId="64C3C9C6">
      <w:pPr>
        <w:numPr>
          <w:ilvl w:val="0"/>
          <w:numId w:val="5"/>
        </w:numPr>
        <w:spacing w:line="560" w:lineRule="atLeast"/>
        <w:ind w:left="0" w:leftChars="0" w:firstLine="420" w:firstLineChars="0"/>
        <w:jc w:val="left"/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政府采购预算情况</w:t>
      </w:r>
    </w:p>
    <w:p w14:paraId="3465A3D9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2026年本部门政府采购预算共安排资金18.8万元，均为其他服务类项目，占整个支出的比例为100%。</w:t>
      </w:r>
    </w:p>
    <w:p w14:paraId="239F7AA0">
      <w:pPr>
        <w:numPr>
          <w:ilvl w:val="0"/>
          <w:numId w:val="5"/>
        </w:numPr>
        <w:spacing w:line="560" w:lineRule="atLeast"/>
        <w:ind w:left="0" w:leftChars="0" w:firstLine="420" w:firstLineChars="0"/>
        <w:jc w:val="left"/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政府购买服务预算情况</w:t>
      </w:r>
    </w:p>
    <w:p w14:paraId="3B88B110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2026年本部门未安排政府购买服务预算。</w:t>
      </w:r>
    </w:p>
    <w:p w14:paraId="4D548A88">
      <w:pPr>
        <w:numPr>
          <w:ilvl w:val="0"/>
          <w:numId w:val="5"/>
        </w:numPr>
        <w:spacing w:line="560" w:lineRule="atLeast"/>
        <w:ind w:left="0" w:leftChars="0" w:firstLine="420" w:firstLineChars="0"/>
        <w:jc w:val="left"/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新增资产配置预算情况</w:t>
      </w:r>
    </w:p>
    <w:p w14:paraId="6EFF5569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2026年本部门未安排资产配置预算。</w:t>
      </w:r>
    </w:p>
    <w:p w14:paraId="07AF6AD7">
      <w:pPr>
        <w:numPr>
          <w:ilvl w:val="0"/>
          <w:numId w:val="5"/>
        </w:numPr>
        <w:spacing w:line="560" w:lineRule="atLeast"/>
        <w:ind w:left="0" w:leftChars="0" w:firstLine="420" w:firstLineChars="0"/>
        <w:jc w:val="left"/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绩效目标编制情况</w:t>
      </w:r>
    </w:p>
    <w:p w14:paraId="02A9D0D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2026年本单位预算中共申报6个项目绩效目标，分别是</w:t>
      </w:r>
    </w:p>
    <w:p w14:paraId="1879B7E6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①乡人民政府运转经费200万元。</w:t>
      </w:r>
    </w:p>
    <w:p w14:paraId="63FB0AD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②农村集体三资管理及中介经费24万元。</w:t>
      </w:r>
    </w:p>
    <w:p w14:paraId="71B7155F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③综改物化投入6.17万元。</w:t>
      </w:r>
    </w:p>
    <w:p w14:paraId="31EBBD90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④国有资产管理和维护支出31.4万元。</w:t>
      </w:r>
    </w:p>
    <w:p w14:paraId="6CE7FA70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⑤消泗乡党群服务中心劳务派遣费用35.4万元</w:t>
      </w:r>
    </w:p>
    <w:p w14:paraId="02A6DC74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⑥消泗乡往来资金5000万元。</w:t>
      </w:r>
    </w:p>
    <w:p w14:paraId="70C83885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以上项目均已申报绩效目标审核。</w:t>
      </w:r>
    </w:p>
    <w:p w14:paraId="486F189B">
      <w:pPr>
        <w:numPr>
          <w:ilvl w:val="0"/>
          <w:numId w:val="5"/>
        </w:numPr>
        <w:spacing w:line="560" w:lineRule="atLeast"/>
        <w:ind w:left="0" w:leftChars="0" w:firstLine="420" w:firstLineChars="0"/>
        <w:jc w:val="left"/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机关运行经费情况</w:t>
      </w:r>
    </w:p>
    <w:p w14:paraId="180785E0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2026年机关运行经费104.93万元，主要用于保障行政单位运行用于购买货物和服务的各项资金，包括办公费、印刷费、水电费、邮电费、物业管理费、差旅费、维修费、会议费、工会经费、福利费、公务用车运行维护费、其他交通费用以及其他费用。</w:t>
      </w:r>
    </w:p>
    <w:p w14:paraId="1ADB4445">
      <w:pPr>
        <w:numPr>
          <w:ilvl w:val="0"/>
          <w:numId w:val="5"/>
        </w:numPr>
        <w:spacing w:line="560" w:lineRule="atLeast"/>
        <w:ind w:left="0" w:leftChars="0" w:firstLine="420" w:firstLineChars="0"/>
        <w:jc w:val="left"/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国有资产占用情况</w:t>
      </w:r>
    </w:p>
    <w:p w14:paraId="3117C68E">
      <w:pPr>
        <w:spacing w:line="60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截至2026年12月15日，部门占有使用国有资产房屋价值1018.96万元。主要实物资产为：房屋647.65平方米，一般公务用车6辆，单位价值100万元(含)以上通用设备0台，单价100万元(含)以上专用设备0台。</w:t>
      </w:r>
    </w:p>
    <w:p w14:paraId="1C487902">
      <w:pPr>
        <w:numPr>
          <w:ilvl w:val="0"/>
          <w:numId w:val="0"/>
        </w:numPr>
        <w:spacing w:line="560" w:lineRule="atLeast"/>
        <w:ind w:firstLine="592" w:firstLineChars="200"/>
        <w:jc w:val="left"/>
        <w:rPr>
          <w:rFonts w:hint="eastAsia" w:ascii="楷体" w:hAnsi="楷体" w:eastAsia="楷体" w:cs="楷体"/>
          <w:spacing w:val="8"/>
          <w:sz w:val="28"/>
          <w:szCs w:val="28"/>
          <w:lang w:val="en-US" w:eastAsia="zh-CN"/>
        </w:rPr>
      </w:pPr>
    </w:p>
    <w:p w14:paraId="56A13BE1">
      <w:pPr>
        <w:numPr>
          <w:ilvl w:val="0"/>
          <w:numId w:val="0"/>
        </w:numPr>
        <w:spacing w:line="560" w:lineRule="atLeast"/>
        <w:ind w:firstLine="592" w:firstLineChars="200"/>
        <w:jc w:val="left"/>
        <w:rPr>
          <w:rFonts w:hint="eastAsia" w:ascii="楷体" w:hAnsi="楷体" w:eastAsia="楷体" w:cs="楷体"/>
          <w:spacing w:val="8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pacing w:val="8"/>
          <w:sz w:val="28"/>
          <w:szCs w:val="28"/>
          <w:lang w:val="en-US" w:eastAsia="zh-CN"/>
        </w:rPr>
        <w:t>附件：1.收支总表</w:t>
      </w:r>
    </w:p>
    <w:p w14:paraId="5446AF51">
      <w:pPr>
        <w:numPr>
          <w:ilvl w:val="0"/>
          <w:numId w:val="0"/>
        </w:numPr>
        <w:spacing w:line="560" w:lineRule="atLeast"/>
        <w:ind w:firstLine="1480" w:firstLineChars="500"/>
        <w:jc w:val="left"/>
        <w:rPr>
          <w:rFonts w:hint="eastAsia" w:ascii="楷体" w:hAnsi="楷体" w:eastAsia="楷体" w:cs="楷体"/>
          <w:spacing w:val="8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pacing w:val="8"/>
          <w:sz w:val="28"/>
          <w:szCs w:val="28"/>
          <w:lang w:val="en-US" w:eastAsia="zh-CN"/>
        </w:rPr>
        <w:t>2.收入总表</w:t>
      </w:r>
    </w:p>
    <w:p w14:paraId="43ECB3AE">
      <w:pPr>
        <w:numPr>
          <w:ilvl w:val="0"/>
          <w:numId w:val="0"/>
        </w:numPr>
        <w:spacing w:line="560" w:lineRule="atLeast"/>
        <w:ind w:firstLine="1480" w:firstLineChars="500"/>
        <w:jc w:val="left"/>
        <w:rPr>
          <w:rFonts w:hint="eastAsia" w:ascii="楷体" w:hAnsi="楷体" w:eastAsia="楷体" w:cs="楷体"/>
          <w:spacing w:val="8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pacing w:val="8"/>
          <w:sz w:val="28"/>
          <w:szCs w:val="28"/>
          <w:lang w:val="en-US" w:eastAsia="zh-CN"/>
        </w:rPr>
        <w:t>3.支出总表</w:t>
      </w:r>
    </w:p>
    <w:p w14:paraId="3A3BED5C">
      <w:pPr>
        <w:numPr>
          <w:ilvl w:val="0"/>
          <w:numId w:val="0"/>
        </w:numPr>
        <w:spacing w:line="560" w:lineRule="atLeast"/>
        <w:ind w:firstLine="1480" w:firstLineChars="500"/>
        <w:jc w:val="left"/>
        <w:rPr>
          <w:rFonts w:hint="eastAsia" w:ascii="楷体" w:hAnsi="楷体" w:eastAsia="楷体" w:cs="楷体"/>
          <w:spacing w:val="8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pacing w:val="8"/>
          <w:sz w:val="28"/>
          <w:szCs w:val="28"/>
          <w:lang w:val="en-US" w:eastAsia="zh-CN"/>
        </w:rPr>
        <w:t>4.财政拨款收支总表</w:t>
      </w:r>
    </w:p>
    <w:p w14:paraId="23B3B132">
      <w:pPr>
        <w:numPr>
          <w:ilvl w:val="0"/>
          <w:numId w:val="0"/>
        </w:numPr>
        <w:spacing w:line="560" w:lineRule="atLeast"/>
        <w:ind w:firstLine="1480" w:firstLineChars="500"/>
        <w:jc w:val="left"/>
        <w:rPr>
          <w:rFonts w:hint="eastAsia" w:ascii="楷体" w:hAnsi="楷体" w:eastAsia="楷体" w:cs="楷体"/>
          <w:spacing w:val="8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pacing w:val="8"/>
          <w:sz w:val="28"/>
          <w:szCs w:val="28"/>
          <w:lang w:val="en-US" w:eastAsia="zh-CN"/>
        </w:rPr>
        <w:t>5.一般公共预算支出表</w:t>
      </w:r>
    </w:p>
    <w:p w14:paraId="5C1A89DB">
      <w:pPr>
        <w:numPr>
          <w:ilvl w:val="0"/>
          <w:numId w:val="0"/>
        </w:numPr>
        <w:spacing w:line="560" w:lineRule="atLeast"/>
        <w:ind w:firstLine="1480" w:firstLineChars="500"/>
        <w:jc w:val="left"/>
        <w:rPr>
          <w:rFonts w:hint="eastAsia" w:ascii="楷体" w:hAnsi="楷体" w:eastAsia="楷体" w:cs="楷体"/>
          <w:spacing w:val="8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pacing w:val="8"/>
          <w:sz w:val="28"/>
          <w:szCs w:val="28"/>
          <w:lang w:val="en-US" w:eastAsia="zh-CN"/>
        </w:rPr>
        <w:t>6.一般公共预算基本支出表</w:t>
      </w:r>
    </w:p>
    <w:p w14:paraId="0A58EDC8">
      <w:pPr>
        <w:numPr>
          <w:ilvl w:val="0"/>
          <w:numId w:val="0"/>
        </w:numPr>
        <w:spacing w:line="560" w:lineRule="atLeast"/>
        <w:ind w:firstLine="1480" w:firstLineChars="500"/>
        <w:jc w:val="left"/>
        <w:rPr>
          <w:rFonts w:hint="eastAsia" w:ascii="楷体" w:hAnsi="楷体" w:eastAsia="楷体" w:cs="楷体"/>
          <w:spacing w:val="8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pacing w:val="8"/>
          <w:sz w:val="28"/>
          <w:szCs w:val="28"/>
          <w:lang w:val="en-US" w:eastAsia="zh-CN"/>
        </w:rPr>
        <w:t>7.一般公共预算“三公”经费支出表</w:t>
      </w:r>
    </w:p>
    <w:p w14:paraId="7E17AC0D">
      <w:pPr>
        <w:numPr>
          <w:ilvl w:val="0"/>
          <w:numId w:val="0"/>
        </w:numPr>
        <w:spacing w:line="560" w:lineRule="atLeast"/>
        <w:ind w:firstLine="1480" w:firstLineChars="500"/>
        <w:jc w:val="left"/>
        <w:rPr>
          <w:rFonts w:hint="eastAsia" w:ascii="楷体" w:hAnsi="楷体" w:eastAsia="楷体" w:cs="楷体"/>
          <w:spacing w:val="8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pacing w:val="8"/>
          <w:sz w:val="28"/>
          <w:szCs w:val="28"/>
          <w:lang w:val="en-US" w:eastAsia="zh-CN"/>
        </w:rPr>
        <w:t>8.政府性基金预算支出表</w:t>
      </w:r>
    </w:p>
    <w:p w14:paraId="72DBC411">
      <w:pPr>
        <w:numPr>
          <w:ilvl w:val="0"/>
          <w:numId w:val="0"/>
        </w:numPr>
        <w:spacing w:line="560" w:lineRule="atLeast"/>
        <w:ind w:firstLine="1480" w:firstLineChars="500"/>
        <w:jc w:val="left"/>
        <w:rPr>
          <w:rFonts w:hint="eastAsia" w:ascii="楷体" w:hAnsi="楷体" w:eastAsia="楷体" w:cs="楷体"/>
          <w:spacing w:val="8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pacing w:val="8"/>
          <w:sz w:val="28"/>
          <w:szCs w:val="28"/>
          <w:lang w:val="en-US" w:eastAsia="zh-CN"/>
        </w:rPr>
        <w:t>9.国有资本经营预算支出表</w:t>
      </w:r>
    </w:p>
    <w:p w14:paraId="4DB4E7E0">
      <w:pPr>
        <w:numPr>
          <w:ilvl w:val="0"/>
          <w:numId w:val="0"/>
        </w:numPr>
        <w:spacing w:line="560" w:lineRule="atLeast"/>
        <w:ind w:firstLine="1480" w:firstLineChars="500"/>
        <w:jc w:val="left"/>
        <w:rPr>
          <w:rFonts w:hint="eastAsia" w:ascii="楷体" w:hAnsi="楷体" w:eastAsia="楷体" w:cs="楷体"/>
          <w:spacing w:val="8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pacing w:val="8"/>
          <w:sz w:val="28"/>
          <w:szCs w:val="28"/>
          <w:lang w:val="en-US" w:eastAsia="zh-CN"/>
        </w:rPr>
        <w:t>10.项目支出表</w:t>
      </w:r>
    </w:p>
    <w:p w14:paraId="43D0115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476D12"/>
    <w:multiLevelType w:val="singleLevel"/>
    <w:tmpl w:val="88476D1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8D40DF5"/>
    <w:multiLevelType w:val="singleLevel"/>
    <w:tmpl w:val="E8D40DF5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1A0939C9"/>
    <w:multiLevelType w:val="singleLevel"/>
    <w:tmpl w:val="1A0939C9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5B0B99D3"/>
    <w:multiLevelType w:val="singleLevel"/>
    <w:tmpl w:val="5B0B99D3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6F285BDF"/>
    <w:multiLevelType w:val="singleLevel"/>
    <w:tmpl w:val="6F285BDF"/>
    <w:lvl w:ilvl="0" w:tentative="0">
      <w:start w:val="1"/>
      <w:numFmt w:val="chineseCounting"/>
      <w:suff w:val="nothing"/>
      <w:lvlText w:val="（%1）"/>
      <w:lvlJc w:val="left"/>
      <w:rPr>
        <w:rFonts w:hint="eastAsia" w:ascii="楷体_GB2312" w:hAnsi="楷体_GB2312" w:eastAsia="楷体_GB2312" w:cs="楷体_GB2312"/>
        <w:b/>
        <w:bCs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51A1A"/>
    <w:rsid w:val="01C012ED"/>
    <w:rsid w:val="07F25F78"/>
    <w:rsid w:val="17962315"/>
    <w:rsid w:val="216D06F2"/>
    <w:rsid w:val="28B51A1A"/>
    <w:rsid w:val="333A576B"/>
    <w:rsid w:val="3EC00294"/>
    <w:rsid w:val="51E46570"/>
    <w:rsid w:val="543A0058"/>
    <w:rsid w:val="74312486"/>
    <w:rsid w:val="7A15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3440</Words>
  <Characters>3688</Characters>
  <Lines>0</Lines>
  <Paragraphs>0</Paragraphs>
  <TotalTime>4</TotalTime>
  <ScaleCrop>false</ScaleCrop>
  <LinksUpToDate>false</LinksUpToDate>
  <CharactersWithSpaces>3711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2025-12-22T02:56:00Z</dcterms:created>
  <dc:creator>罗翔</dc:creator>
  <cp:lastModifiedBy>消泗张行超</cp:lastModifiedBy>
  <cp:lastPrinted>2025-12-22T03:32:00Z</cp:lastPrinted>
  <dcterms:modified xsi:type="dcterms:W3CDTF">2026-01-23T02:56:16Z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6AF6FFFDDB944306909C8235C79FD0D0_13</vt:lpwstr>
  </property>
  <property fmtid="{D5CDD505-2E9C-101B-9397-08002B2CF9AE}" pid="4" name="KSOTemplateDocerSaveRecord">
    <vt:lpwstr>eyJoZGlkIjoiYTlkYTFhNTM3MGY4NjM3NTlkNDVkYzBjYTY3NTVlZTciLCJ1c2VySWQiOiI0Mzc1OTYwMjgifQ==</vt:lpwstr>
  </property>
</Properties>
</file>